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CD070" w14:textId="77777777" w:rsidR="001745DE" w:rsidRDefault="001745DE">
      <w:bookmarkStart w:id="0" w:name="_GoBack"/>
      <w:bookmarkEnd w:id="0"/>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6"/>
        <w:gridCol w:w="2694"/>
        <w:gridCol w:w="2750"/>
      </w:tblGrid>
      <w:tr w:rsidR="001745DE" w:rsidRPr="00475714" w14:paraId="2B7C9A27" w14:textId="77777777">
        <w:trPr>
          <w:trHeight w:val="420"/>
        </w:trPr>
        <w:tc>
          <w:tcPr>
            <w:tcW w:w="10080" w:type="dxa"/>
            <w:gridSpan w:val="3"/>
            <w:tcBorders>
              <w:top w:val="nil"/>
              <w:left w:val="nil"/>
              <w:bottom w:val="nil"/>
              <w:right w:val="nil"/>
            </w:tcBorders>
            <w:tcMar>
              <w:top w:w="100" w:type="dxa"/>
              <w:left w:w="100" w:type="dxa"/>
              <w:bottom w:w="100" w:type="dxa"/>
              <w:right w:w="100" w:type="dxa"/>
            </w:tcMar>
          </w:tcPr>
          <w:p w14:paraId="7AA51DFE" w14:textId="61000D4C" w:rsidR="001745DE" w:rsidRPr="00475714" w:rsidRDefault="00746DFD" w:rsidP="008425F1">
            <w:pPr>
              <w:widowControl w:val="0"/>
              <w:spacing w:line="240" w:lineRule="auto"/>
              <w:jc w:val="center"/>
              <w:rPr>
                <w:color w:val="980000"/>
                <w:sz w:val="40"/>
                <w:szCs w:val="40"/>
                <w:lang w:val="fr-FR"/>
              </w:rPr>
            </w:pPr>
            <w:r w:rsidRPr="00475714">
              <w:rPr>
                <w:color w:val="980000"/>
                <w:sz w:val="40"/>
                <w:szCs w:val="40"/>
                <w:lang w:val="fr-FR"/>
              </w:rPr>
              <w:t xml:space="preserve">La recherche </w:t>
            </w:r>
            <w:r w:rsidR="008425F1" w:rsidRPr="00475714">
              <w:rPr>
                <w:color w:val="980000"/>
                <w:sz w:val="40"/>
                <w:szCs w:val="40"/>
                <w:lang w:val="fr-FR"/>
              </w:rPr>
              <w:t xml:space="preserve">fondamentale </w:t>
            </w:r>
            <w:r w:rsidRPr="00475714">
              <w:rPr>
                <w:color w:val="980000"/>
                <w:sz w:val="40"/>
                <w:szCs w:val="40"/>
                <w:lang w:val="fr-FR"/>
              </w:rPr>
              <w:t>oeuvre pour les canadiens</w:t>
            </w:r>
          </w:p>
        </w:tc>
      </w:tr>
      <w:tr w:rsidR="00B60C67" w:rsidRPr="00475714" w14:paraId="659A0E25" w14:textId="77777777" w:rsidTr="00156F9E">
        <w:trPr>
          <w:trHeight w:val="2332"/>
        </w:trPr>
        <w:tc>
          <w:tcPr>
            <w:tcW w:w="4636" w:type="dxa"/>
            <w:vMerge w:val="restart"/>
            <w:tcBorders>
              <w:top w:val="nil"/>
              <w:left w:val="nil"/>
              <w:bottom w:val="nil"/>
              <w:right w:val="nil"/>
            </w:tcBorders>
            <w:tcMar>
              <w:top w:w="100" w:type="dxa"/>
              <w:left w:w="100" w:type="dxa"/>
              <w:bottom w:w="100" w:type="dxa"/>
              <w:right w:w="100" w:type="dxa"/>
            </w:tcMar>
          </w:tcPr>
          <w:p w14:paraId="66328DD4" w14:textId="0B39B0FC" w:rsidR="000049E9" w:rsidRPr="00475714" w:rsidRDefault="00746DFD" w:rsidP="00156F9E">
            <w:pPr>
              <w:numPr>
                <w:ilvl w:val="0"/>
                <w:numId w:val="2"/>
              </w:numPr>
              <w:spacing w:after="40" w:line="240" w:lineRule="auto"/>
              <w:ind w:left="284" w:hanging="340"/>
              <w:rPr>
                <w:sz w:val="21"/>
                <w:szCs w:val="20"/>
                <w:lang w:val="fr-FR"/>
              </w:rPr>
            </w:pPr>
            <w:r w:rsidRPr="00475714">
              <w:rPr>
                <w:b/>
                <w:sz w:val="21"/>
                <w:szCs w:val="20"/>
                <w:lang w:val="fr-FR"/>
              </w:rPr>
              <w:t xml:space="preserve">La recherche universitaire est un employeur important pour </w:t>
            </w:r>
            <w:r w:rsidRPr="00475714">
              <w:rPr>
                <w:b/>
                <w:sz w:val="21"/>
                <w:szCs w:val="20"/>
                <w:highlight w:val="lightGray"/>
                <w:lang w:val="fr-FR"/>
              </w:rPr>
              <w:t>nom de la circonscription</w:t>
            </w:r>
            <w:r w:rsidR="009108D8" w:rsidRPr="00475714">
              <w:rPr>
                <w:sz w:val="21"/>
                <w:szCs w:val="20"/>
                <w:lang w:val="fr-FR"/>
              </w:rPr>
              <w:t xml:space="preserve">. Les salaires des employés ainsi que </w:t>
            </w:r>
            <w:r w:rsidR="00475714">
              <w:rPr>
                <w:sz w:val="21"/>
                <w:szCs w:val="20"/>
                <w:lang w:val="fr-FR"/>
              </w:rPr>
              <w:t xml:space="preserve">ceux </w:t>
            </w:r>
            <w:r w:rsidR="009108D8" w:rsidRPr="00475714">
              <w:rPr>
                <w:sz w:val="21"/>
                <w:szCs w:val="20"/>
                <w:lang w:val="fr-FR"/>
              </w:rPr>
              <w:t>des étudiant</w:t>
            </w:r>
            <w:r w:rsidRPr="00475714">
              <w:rPr>
                <w:sz w:val="21"/>
                <w:szCs w:val="20"/>
                <w:lang w:val="fr-FR"/>
              </w:rPr>
              <w:t>s représenten</w:t>
            </w:r>
            <w:r w:rsidR="009108D8" w:rsidRPr="00475714">
              <w:rPr>
                <w:sz w:val="21"/>
                <w:szCs w:val="20"/>
                <w:lang w:val="fr-FR"/>
              </w:rPr>
              <w:t>t</w:t>
            </w:r>
            <w:r w:rsidRPr="00475714">
              <w:rPr>
                <w:sz w:val="21"/>
                <w:szCs w:val="20"/>
                <w:lang w:val="fr-FR"/>
              </w:rPr>
              <w:t xml:space="preserve"> </w:t>
            </w:r>
            <w:r w:rsidR="00475714">
              <w:rPr>
                <w:sz w:val="21"/>
                <w:szCs w:val="20"/>
                <w:lang w:val="fr-FR"/>
              </w:rPr>
              <w:t>une</w:t>
            </w:r>
            <w:r w:rsidRPr="00475714">
              <w:rPr>
                <w:sz w:val="21"/>
                <w:szCs w:val="20"/>
                <w:lang w:val="fr-FR"/>
              </w:rPr>
              <w:t xml:space="preserve"> dépense </w:t>
            </w:r>
            <w:r w:rsidR="00530AB8" w:rsidRPr="00475714">
              <w:rPr>
                <w:sz w:val="21"/>
                <w:szCs w:val="20"/>
                <w:lang w:val="fr-FR"/>
              </w:rPr>
              <w:t>trè</w:t>
            </w:r>
            <w:r w:rsidRPr="00475714">
              <w:rPr>
                <w:sz w:val="21"/>
                <w:szCs w:val="20"/>
                <w:lang w:val="fr-FR"/>
              </w:rPr>
              <w:t xml:space="preserve">s importante dans </w:t>
            </w:r>
            <w:r w:rsidR="00530AB8" w:rsidRPr="00475714">
              <w:rPr>
                <w:sz w:val="21"/>
                <w:szCs w:val="20"/>
                <w:lang w:val="fr-FR"/>
              </w:rPr>
              <w:t>les</w:t>
            </w:r>
            <w:r w:rsidR="000049E9" w:rsidRPr="00475714">
              <w:rPr>
                <w:sz w:val="21"/>
                <w:szCs w:val="20"/>
                <w:lang w:val="fr-FR"/>
              </w:rPr>
              <w:t xml:space="preserve"> </w:t>
            </w:r>
            <w:r w:rsidRPr="00475714">
              <w:rPr>
                <w:sz w:val="21"/>
                <w:szCs w:val="20"/>
                <w:lang w:val="fr-FR"/>
              </w:rPr>
              <w:t>budgets de</w:t>
            </w:r>
            <w:r w:rsidR="00530AB8" w:rsidRPr="00475714">
              <w:rPr>
                <w:sz w:val="21"/>
                <w:szCs w:val="20"/>
                <w:lang w:val="fr-FR"/>
              </w:rPr>
              <w:t>s projets de</w:t>
            </w:r>
            <w:r w:rsidRPr="00475714">
              <w:rPr>
                <w:sz w:val="21"/>
                <w:szCs w:val="20"/>
                <w:lang w:val="fr-FR"/>
              </w:rPr>
              <w:t xml:space="preserve"> recherche.</w:t>
            </w:r>
            <w:r w:rsidR="00530AB8" w:rsidRPr="00475714">
              <w:rPr>
                <w:sz w:val="21"/>
                <w:szCs w:val="20"/>
                <w:vertAlign w:val="superscript"/>
                <w:lang w:val="fr-FR"/>
              </w:rPr>
              <w:t>1</w:t>
            </w:r>
            <w:r w:rsidRPr="00475714">
              <w:rPr>
                <w:sz w:val="21"/>
                <w:szCs w:val="20"/>
                <w:lang w:val="fr-FR"/>
              </w:rPr>
              <w:t xml:space="preserve"> La recherche universitaire offrent des bons emplois</w:t>
            </w:r>
            <w:r w:rsidR="000049E9" w:rsidRPr="00475714">
              <w:rPr>
                <w:sz w:val="21"/>
                <w:szCs w:val="20"/>
                <w:lang w:val="fr-FR"/>
              </w:rPr>
              <w:t xml:space="preserve"> </w:t>
            </w:r>
            <w:r w:rsidRPr="00475714">
              <w:rPr>
                <w:sz w:val="21"/>
                <w:szCs w:val="20"/>
                <w:lang w:val="fr-FR"/>
              </w:rPr>
              <w:t xml:space="preserve">à des </w:t>
            </w:r>
            <w:r w:rsidR="00D649C5" w:rsidRPr="00475714">
              <w:rPr>
                <w:sz w:val="21"/>
                <w:szCs w:val="20"/>
                <w:lang w:val="fr-FR"/>
              </w:rPr>
              <w:t xml:space="preserve">dizaines de </w:t>
            </w:r>
            <w:r w:rsidRPr="00475714">
              <w:rPr>
                <w:sz w:val="21"/>
                <w:szCs w:val="20"/>
                <w:lang w:val="fr-FR"/>
              </w:rPr>
              <w:t>milliers de canadiens</w:t>
            </w:r>
            <w:r w:rsidR="000049E9" w:rsidRPr="00475714">
              <w:rPr>
                <w:sz w:val="21"/>
                <w:szCs w:val="20"/>
                <w:lang w:val="fr-FR"/>
              </w:rPr>
              <w:t xml:space="preserve"> </w:t>
            </w:r>
            <w:r w:rsidR="009108D8" w:rsidRPr="00475714">
              <w:rPr>
                <w:sz w:val="21"/>
                <w:szCs w:val="20"/>
                <w:lang w:val="fr-FR"/>
              </w:rPr>
              <w:t>en plus d’offrir aux étudiant</w:t>
            </w:r>
            <w:r w:rsidRPr="00475714">
              <w:rPr>
                <w:sz w:val="21"/>
                <w:szCs w:val="20"/>
                <w:lang w:val="fr-FR"/>
              </w:rPr>
              <w:t xml:space="preserve">s un parcours stable pour rejoindre la classe moyenne. Dans </w:t>
            </w:r>
            <w:r w:rsidRPr="00475714">
              <w:rPr>
                <w:sz w:val="21"/>
                <w:szCs w:val="20"/>
                <w:highlight w:val="lightGray"/>
                <w:lang w:val="fr-FR"/>
              </w:rPr>
              <w:t>mon labo unique/nos [##] labos, je/n</w:t>
            </w:r>
            <w:r w:rsidR="008425F1" w:rsidRPr="00475714">
              <w:rPr>
                <w:sz w:val="21"/>
                <w:szCs w:val="20"/>
                <w:highlight w:val="lightGray"/>
                <w:lang w:val="fr-FR"/>
              </w:rPr>
              <w:t>ou</w:t>
            </w:r>
            <w:r w:rsidRPr="00475714">
              <w:rPr>
                <w:sz w:val="21"/>
                <w:szCs w:val="20"/>
                <w:highlight w:val="lightGray"/>
                <w:lang w:val="fr-FR"/>
              </w:rPr>
              <w:t>s emploie/yons:</w:t>
            </w:r>
            <w:r w:rsidRPr="00475714">
              <w:rPr>
                <w:sz w:val="21"/>
                <w:szCs w:val="20"/>
                <w:highlight w:val="yellow"/>
                <w:lang w:val="fr-FR"/>
              </w:rPr>
              <w:br/>
            </w:r>
            <w:r w:rsidRPr="00475714">
              <w:rPr>
                <w:sz w:val="21"/>
                <w:szCs w:val="20"/>
                <w:highlight w:val="lightGray"/>
                <w:lang w:val="fr-FR"/>
              </w:rPr>
              <w:t>##</w:t>
            </w:r>
            <w:r w:rsidR="009108D8" w:rsidRPr="00475714">
              <w:rPr>
                <w:sz w:val="21"/>
                <w:szCs w:val="20"/>
                <w:lang w:val="fr-FR"/>
              </w:rPr>
              <w:t xml:space="preserve"> techniciens/professionnel</w:t>
            </w:r>
            <w:r w:rsidRPr="00475714">
              <w:rPr>
                <w:sz w:val="21"/>
                <w:szCs w:val="20"/>
                <w:lang w:val="fr-FR"/>
              </w:rPr>
              <w:t>s de recherche</w:t>
            </w:r>
            <w:r w:rsidRPr="00475714">
              <w:rPr>
                <w:sz w:val="21"/>
                <w:szCs w:val="20"/>
                <w:lang w:val="fr-FR"/>
              </w:rPr>
              <w:br/>
            </w:r>
            <w:r w:rsidRPr="00475714">
              <w:rPr>
                <w:sz w:val="21"/>
                <w:szCs w:val="20"/>
                <w:highlight w:val="lightGray"/>
                <w:lang w:val="fr-FR"/>
              </w:rPr>
              <w:t>##</w:t>
            </w:r>
            <w:r w:rsidRPr="00475714">
              <w:rPr>
                <w:sz w:val="21"/>
                <w:szCs w:val="20"/>
                <w:lang w:val="fr-FR"/>
              </w:rPr>
              <w:t xml:space="preserve"> stagiaires postdoctoraux</w:t>
            </w:r>
            <w:r w:rsidRPr="00475714">
              <w:rPr>
                <w:sz w:val="21"/>
                <w:szCs w:val="20"/>
                <w:lang w:val="fr-FR"/>
              </w:rPr>
              <w:br/>
            </w:r>
            <w:r w:rsidRPr="00475714">
              <w:rPr>
                <w:sz w:val="21"/>
                <w:szCs w:val="20"/>
                <w:highlight w:val="lightGray"/>
                <w:lang w:val="fr-FR"/>
              </w:rPr>
              <w:t>##</w:t>
            </w:r>
            <w:r w:rsidR="009108D8" w:rsidRPr="00475714">
              <w:rPr>
                <w:sz w:val="21"/>
                <w:szCs w:val="20"/>
                <w:lang w:val="fr-FR"/>
              </w:rPr>
              <w:t xml:space="preserve"> étudiant</w:t>
            </w:r>
            <w:r w:rsidRPr="00475714">
              <w:rPr>
                <w:sz w:val="21"/>
                <w:szCs w:val="20"/>
                <w:lang w:val="fr-FR"/>
              </w:rPr>
              <w:t>s aux 2e et 3e cycles</w:t>
            </w:r>
            <w:r w:rsidRPr="00475714">
              <w:rPr>
                <w:sz w:val="21"/>
                <w:szCs w:val="20"/>
                <w:lang w:val="fr-FR"/>
              </w:rPr>
              <w:br/>
            </w:r>
            <w:r w:rsidRPr="00475714">
              <w:rPr>
                <w:sz w:val="21"/>
                <w:szCs w:val="20"/>
                <w:highlight w:val="lightGray"/>
                <w:lang w:val="fr-FR"/>
              </w:rPr>
              <w:t>##</w:t>
            </w:r>
            <w:r w:rsidRPr="00475714">
              <w:rPr>
                <w:sz w:val="21"/>
                <w:szCs w:val="20"/>
                <w:lang w:val="fr-FR"/>
              </w:rPr>
              <w:t xml:space="preserve"> étudiants au 1er cycle</w:t>
            </w:r>
          </w:p>
          <w:p w14:paraId="3C77D8AE" w14:textId="3F477496" w:rsidR="001745DE" w:rsidRPr="00475714" w:rsidRDefault="00746DFD" w:rsidP="00156F9E">
            <w:pPr>
              <w:numPr>
                <w:ilvl w:val="0"/>
                <w:numId w:val="4"/>
              </w:numPr>
              <w:spacing w:after="40" w:line="240" w:lineRule="auto"/>
              <w:ind w:left="284" w:hanging="340"/>
              <w:rPr>
                <w:sz w:val="21"/>
                <w:szCs w:val="20"/>
                <w:lang w:val="fr-FR"/>
              </w:rPr>
            </w:pPr>
            <w:r w:rsidRPr="00475714">
              <w:rPr>
                <w:b/>
                <w:sz w:val="21"/>
                <w:szCs w:val="20"/>
                <w:lang w:val="fr-FR"/>
              </w:rPr>
              <w:t xml:space="preserve">La recherche </w:t>
            </w:r>
            <w:r w:rsidR="008425F1" w:rsidRPr="00475714">
              <w:rPr>
                <w:b/>
                <w:sz w:val="21"/>
                <w:szCs w:val="20"/>
                <w:lang w:val="fr-FR"/>
              </w:rPr>
              <w:t xml:space="preserve">fondamentale </w:t>
            </w:r>
            <w:r w:rsidRPr="00475714">
              <w:rPr>
                <w:b/>
                <w:sz w:val="21"/>
                <w:szCs w:val="20"/>
                <w:lang w:val="fr-FR"/>
              </w:rPr>
              <w:t xml:space="preserve">permet </w:t>
            </w:r>
            <w:r w:rsidR="00E01A53" w:rsidRPr="00475714">
              <w:rPr>
                <w:b/>
                <w:sz w:val="21"/>
                <w:szCs w:val="20"/>
                <w:lang w:val="fr-FR"/>
              </w:rPr>
              <w:t>à l’</w:t>
            </w:r>
            <w:r w:rsidR="00475714">
              <w:rPr>
                <w:b/>
                <w:sz w:val="21"/>
                <w:szCs w:val="20"/>
                <w:lang w:val="fr-FR"/>
              </w:rPr>
              <w:t>é</w:t>
            </w:r>
            <w:r w:rsidR="00E01A53" w:rsidRPr="00475714">
              <w:rPr>
                <w:b/>
                <w:sz w:val="21"/>
                <w:szCs w:val="20"/>
                <w:lang w:val="fr-FR"/>
              </w:rPr>
              <w:t>conomie locale</w:t>
            </w:r>
            <w:r w:rsidRPr="00475714">
              <w:rPr>
                <w:b/>
                <w:sz w:val="21"/>
                <w:szCs w:val="20"/>
                <w:lang w:val="fr-FR"/>
              </w:rPr>
              <w:t xml:space="preserve"> de prospérer</w:t>
            </w:r>
            <w:r w:rsidRPr="00475714">
              <w:rPr>
                <w:sz w:val="21"/>
                <w:szCs w:val="20"/>
                <w:lang w:val="fr-FR"/>
              </w:rPr>
              <w:t>.</w:t>
            </w:r>
            <w:r w:rsidRPr="00475714">
              <w:rPr>
                <w:sz w:val="21"/>
                <w:szCs w:val="20"/>
                <w:vertAlign w:val="superscript"/>
                <w:lang w:val="fr-FR"/>
              </w:rPr>
              <w:t>1</w:t>
            </w:r>
            <w:r w:rsidRPr="00475714">
              <w:rPr>
                <w:sz w:val="21"/>
                <w:szCs w:val="20"/>
                <w:lang w:val="fr-FR"/>
              </w:rPr>
              <w:t xml:space="preserve"> P. ex., ici à </w:t>
            </w:r>
            <w:r w:rsidRPr="00475714">
              <w:rPr>
                <w:sz w:val="21"/>
                <w:szCs w:val="20"/>
                <w:highlight w:val="lightGray"/>
                <w:lang w:val="fr-FR"/>
              </w:rPr>
              <w:t xml:space="preserve">endroit, </w:t>
            </w:r>
            <w:commentRangeStart w:id="1"/>
            <w:r w:rsidR="008425F1" w:rsidRPr="00475714">
              <w:rPr>
                <w:sz w:val="21"/>
                <w:szCs w:val="20"/>
                <w:highlight w:val="lightGray"/>
                <w:lang w:val="fr-FR"/>
              </w:rPr>
              <w:t>nom de l’</w:t>
            </w:r>
            <w:r w:rsidRPr="00475714">
              <w:rPr>
                <w:sz w:val="21"/>
                <w:szCs w:val="20"/>
                <w:highlight w:val="lightGray"/>
                <w:lang w:val="fr-FR"/>
              </w:rPr>
              <w:t xml:space="preserve">enterprise </w:t>
            </w:r>
            <w:commentRangeEnd w:id="1"/>
            <w:r w:rsidR="00A62A3F">
              <w:rPr>
                <w:rStyle w:val="CommentReference"/>
              </w:rPr>
              <w:commentReference w:id="1"/>
            </w:r>
            <w:r w:rsidR="009108D8" w:rsidRPr="00475714">
              <w:rPr>
                <w:sz w:val="21"/>
                <w:szCs w:val="20"/>
                <w:lang w:val="fr-FR"/>
              </w:rPr>
              <w:t>a besoin des chercheurs financé</w:t>
            </w:r>
            <w:r w:rsidRPr="00475714">
              <w:rPr>
                <w:sz w:val="21"/>
                <w:szCs w:val="20"/>
                <w:lang w:val="fr-FR"/>
              </w:rPr>
              <w:t>s pour acheter leurs produits</w:t>
            </w:r>
            <w:r w:rsidR="00344CFD" w:rsidRPr="00475714">
              <w:rPr>
                <w:sz w:val="21"/>
                <w:szCs w:val="20"/>
                <w:lang w:val="fr-FR"/>
              </w:rPr>
              <w:t xml:space="preserve"> et leurs services</w:t>
            </w:r>
            <w:r w:rsidRPr="00475714">
              <w:rPr>
                <w:sz w:val="21"/>
                <w:szCs w:val="20"/>
                <w:lang w:val="fr-FR"/>
              </w:rPr>
              <w:t>.</w:t>
            </w:r>
          </w:p>
          <w:p w14:paraId="5CC05CCE" w14:textId="1FA45ED1" w:rsidR="001745DE" w:rsidRPr="00475714" w:rsidRDefault="00746DFD" w:rsidP="00156F9E">
            <w:pPr>
              <w:numPr>
                <w:ilvl w:val="0"/>
                <w:numId w:val="4"/>
              </w:numPr>
              <w:spacing w:after="40" w:line="240" w:lineRule="auto"/>
              <w:ind w:left="284" w:hanging="340"/>
              <w:rPr>
                <w:b/>
                <w:sz w:val="21"/>
                <w:szCs w:val="20"/>
                <w:lang w:val="fr-FR"/>
              </w:rPr>
            </w:pPr>
            <w:r w:rsidRPr="00475714">
              <w:rPr>
                <w:b/>
                <w:sz w:val="21"/>
                <w:szCs w:val="20"/>
                <w:lang w:val="fr-FR"/>
              </w:rPr>
              <w:t xml:space="preserve">La recherche </w:t>
            </w:r>
            <w:r w:rsidR="008425F1" w:rsidRPr="00475714">
              <w:rPr>
                <w:b/>
                <w:sz w:val="21"/>
                <w:szCs w:val="20"/>
                <w:lang w:val="fr-FR"/>
              </w:rPr>
              <w:t xml:space="preserve">fondamentale </w:t>
            </w:r>
            <w:r w:rsidRPr="00475714">
              <w:rPr>
                <w:b/>
                <w:sz w:val="21"/>
                <w:szCs w:val="20"/>
                <w:lang w:val="fr-FR"/>
              </w:rPr>
              <w:t>forme les prochaines générations d’innovateurs</w:t>
            </w:r>
            <w:r w:rsidR="00156F9E" w:rsidRPr="00475714">
              <w:rPr>
                <w:b/>
                <w:sz w:val="21"/>
                <w:szCs w:val="20"/>
                <w:lang w:val="fr-FR"/>
              </w:rPr>
              <w:t xml:space="preserve"> </w:t>
            </w:r>
            <w:r w:rsidR="00156F9E" w:rsidRPr="00502F36">
              <w:rPr>
                <w:b/>
                <w:sz w:val="21"/>
                <w:szCs w:val="20"/>
                <w:lang w:val="fr-FR"/>
              </w:rPr>
              <w:t xml:space="preserve">pour </w:t>
            </w:r>
            <w:r w:rsidR="009A660F" w:rsidRPr="00502F36">
              <w:rPr>
                <w:b/>
                <w:bCs/>
                <w:sz w:val="21"/>
                <w:szCs w:val="20"/>
                <w:lang w:val="fr-FR"/>
              </w:rPr>
              <w:t xml:space="preserve">une économie durable fondée sur </w:t>
            </w:r>
            <w:r w:rsidR="00A00A1F">
              <w:rPr>
                <w:b/>
                <w:bCs/>
                <w:sz w:val="21"/>
                <w:szCs w:val="20"/>
                <w:lang w:val="fr-FR"/>
              </w:rPr>
              <w:t>la</w:t>
            </w:r>
            <w:r w:rsidR="009A660F" w:rsidRPr="00502F36">
              <w:rPr>
                <w:b/>
                <w:bCs/>
                <w:sz w:val="21"/>
                <w:szCs w:val="20"/>
                <w:lang w:val="fr-FR"/>
              </w:rPr>
              <w:t xml:space="preserve"> savoir</w:t>
            </w:r>
            <w:r w:rsidRPr="00475714">
              <w:rPr>
                <w:b/>
                <w:sz w:val="21"/>
                <w:szCs w:val="20"/>
                <w:lang w:val="fr-FR"/>
              </w:rPr>
              <w:t>.</w:t>
            </w:r>
            <w:r w:rsidRPr="00475714">
              <w:rPr>
                <w:sz w:val="21"/>
                <w:szCs w:val="20"/>
                <w:lang w:val="fr-FR"/>
              </w:rPr>
              <w:t xml:space="preserve"> La recherche financée par le gouvernement fédéral per</w:t>
            </w:r>
            <w:r w:rsidR="009108D8" w:rsidRPr="00475714">
              <w:rPr>
                <w:sz w:val="21"/>
                <w:szCs w:val="20"/>
                <w:lang w:val="fr-FR"/>
              </w:rPr>
              <w:t>met à des milliers d’étudiant</w:t>
            </w:r>
            <w:r w:rsidRPr="00475714">
              <w:rPr>
                <w:sz w:val="21"/>
                <w:szCs w:val="20"/>
                <w:lang w:val="fr-FR"/>
              </w:rPr>
              <w:t xml:space="preserve">s </w:t>
            </w:r>
            <w:r w:rsidR="00475714">
              <w:rPr>
                <w:sz w:val="21"/>
                <w:szCs w:val="20"/>
                <w:lang w:val="fr-FR"/>
              </w:rPr>
              <w:t>de</w:t>
            </w:r>
            <w:r w:rsidRPr="00475714">
              <w:rPr>
                <w:sz w:val="21"/>
                <w:szCs w:val="20"/>
                <w:lang w:val="fr-FR"/>
              </w:rPr>
              <w:t xml:space="preserve"> l’</w:t>
            </w:r>
            <w:r w:rsidRPr="00475714">
              <w:rPr>
                <w:sz w:val="21"/>
                <w:szCs w:val="20"/>
                <w:highlight w:val="lightGray"/>
                <w:lang w:val="fr-FR"/>
              </w:rPr>
              <w:t>Institution</w:t>
            </w:r>
            <w:r w:rsidRPr="00475714">
              <w:rPr>
                <w:sz w:val="21"/>
                <w:szCs w:val="20"/>
                <w:lang w:val="fr-FR"/>
              </w:rPr>
              <w:t xml:space="preserve"> </w:t>
            </w:r>
            <w:r w:rsidR="00475714" w:rsidRPr="00502F36">
              <w:rPr>
                <w:sz w:val="21"/>
                <w:szCs w:val="20"/>
                <w:lang w:val="fr-FR"/>
              </w:rPr>
              <w:t>de</w:t>
            </w:r>
            <w:r w:rsidR="009A660F" w:rsidRPr="00502F36">
              <w:rPr>
                <w:sz w:val="21"/>
                <w:szCs w:val="20"/>
                <w:lang w:val="fr-FR"/>
              </w:rPr>
              <w:t xml:space="preserve"> </w:t>
            </w:r>
            <w:r w:rsidR="00F02965" w:rsidRPr="00502F36">
              <w:rPr>
                <w:sz w:val="21"/>
                <w:szCs w:val="20"/>
                <w:lang w:val="fr-FR"/>
              </w:rPr>
              <w:t xml:space="preserve">devenir </w:t>
            </w:r>
            <w:r w:rsidR="00630381" w:rsidRPr="00502F36">
              <w:rPr>
                <w:sz w:val="21"/>
                <w:szCs w:val="20"/>
                <w:lang w:val="fr-FR"/>
              </w:rPr>
              <w:t xml:space="preserve">la main-d'œuvre canadienne </w:t>
            </w:r>
            <w:r w:rsidR="009A660F" w:rsidRPr="00502F36">
              <w:rPr>
                <w:sz w:val="21"/>
                <w:szCs w:val="20"/>
                <w:lang w:val="fr-FR"/>
              </w:rPr>
              <w:t xml:space="preserve">: </w:t>
            </w:r>
            <w:r w:rsidR="00156F9E" w:rsidRPr="00502F36">
              <w:rPr>
                <w:sz w:val="21"/>
                <w:szCs w:val="20"/>
                <w:lang w:val="fr-FR"/>
              </w:rPr>
              <w:t xml:space="preserve">les </w:t>
            </w:r>
            <w:r w:rsidR="00F02965" w:rsidRPr="00502F36">
              <w:rPr>
                <w:sz w:val="21"/>
                <w:szCs w:val="20"/>
                <w:lang w:val="fr-FR"/>
              </w:rPr>
              <w:t xml:space="preserve">médecins, </w:t>
            </w:r>
            <w:r w:rsidR="00156F9E" w:rsidRPr="00502F36">
              <w:rPr>
                <w:sz w:val="21"/>
                <w:szCs w:val="20"/>
                <w:lang w:val="fr-FR"/>
              </w:rPr>
              <w:t xml:space="preserve">les </w:t>
            </w:r>
            <w:r w:rsidR="00F02965" w:rsidRPr="00502F36">
              <w:rPr>
                <w:sz w:val="21"/>
                <w:szCs w:val="20"/>
                <w:lang w:val="fr-FR"/>
              </w:rPr>
              <w:t xml:space="preserve">infirmières, </w:t>
            </w:r>
            <w:r w:rsidR="00156F9E" w:rsidRPr="00502F36">
              <w:rPr>
                <w:sz w:val="21"/>
                <w:szCs w:val="20"/>
                <w:lang w:val="fr-FR"/>
              </w:rPr>
              <w:t xml:space="preserve">les </w:t>
            </w:r>
            <w:r w:rsidR="00F02965" w:rsidRPr="00502F36">
              <w:rPr>
                <w:sz w:val="21"/>
                <w:szCs w:val="20"/>
                <w:lang w:val="fr-FR"/>
              </w:rPr>
              <w:t xml:space="preserve">ingénieurs, </w:t>
            </w:r>
            <w:r w:rsidR="00156F9E" w:rsidRPr="00502F36">
              <w:rPr>
                <w:sz w:val="21"/>
                <w:szCs w:val="20"/>
                <w:lang w:val="fr-FR"/>
              </w:rPr>
              <w:t xml:space="preserve">les </w:t>
            </w:r>
            <w:r w:rsidR="00630381" w:rsidRPr="00502F36">
              <w:rPr>
                <w:sz w:val="21"/>
                <w:szCs w:val="20"/>
                <w:lang w:val="fr-FR"/>
              </w:rPr>
              <w:t xml:space="preserve">artistes, les </w:t>
            </w:r>
            <w:r w:rsidR="00F02965" w:rsidRPr="00502F36">
              <w:rPr>
                <w:sz w:val="21"/>
                <w:szCs w:val="20"/>
                <w:lang w:val="fr-FR"/>
              </w:rPr>
              <w:t xml:space="preserve">entrepreneurs, </w:t>
            </w:r>
            <w:r w:rsidR="00156F9E" w:rsidRPr="00502F36">
              <w:rPr>
                <w:sz w:val="21"/>
                <w:szCs w:val="20"/>
                <w:lang w:val="fr-FR"/>
              </w:rPr>
              <w:t xml:space="preserve">les </w:t>
            </w:r>
            <w:r w:rsidR="00D47A52" w:rsidRPr="00502F36">
              <w:rPr>
                <w:sz w:val="21"/>
                <w:szCs w:val="20"/>
                <w:lang w:val="fr-FR"/>
              </w:rPr>
              <w:t>avocats</w:t>
            </w:r>
            <w:r w:rsidR="00F02965" w:rsidRPr="00502F36">
              <w:rPr>
                <w:sz w:val="21"/>
                <w:szCs w:val="20"/>
                <w:lang w:val="fr-FR"/>
              </w:rPr>
              <w:t xml:space="preserve">, </w:t>
            </w:r>
            <w:r w:rsidR="00156F9E" w:rsidRPr="00502F36">
              <w:rPr>
                <w:sz w:val="21"/>
                <w:szCs w:val="20"/>
                <w:lang w:val="fr-FR"/>
              </w:rPr>
              <w:t xml:space="preserve">les </w:t>
            </w:r>
            <w:r w:rsidR="00F02965" w:rsidRPr="00502F36">
              <w:rPr>
                <w:sz w:val="21"/>
                <w:szCs w:val="20"/>
                <w:lang w:val="fr-FR"/>
              </w:rPr>
              <w:t xml:space="preserve">scientifiques de l'industrie, </w:t>
            </w:r>
            <w:r w:rsidR="00156F9E" w:rsidRPr="00502F36">
              <w:rPr>
                <w:sz w:val="21"/>
                <w:szCs w:val="20"/>
                <w:lang w:val="fr-FR"/>
              </w:rPr>
              <w:t xml:space="preserve">les </w:t>
            </w:r>
            <w:r w:rsidR="00F02965" w:rsidRPr="00502F36">
              <w:rPr>
                <w:sz w:val="21"/>
                <w:szCs w:val="20"/>
                <w:lang w:val="fr-FR"/>
              </w:rPr>
              <w:t xml:space="preserve">employés du secteur public, </w:t>
            </w:r>
            <w:r w:rsidR="00156F9E" w:rsidRPr="00502F36">
              <w:rPr>
                <w:sz w:val="21"/>
                <w:szCs w:val="20"/>
                <w:lang w:val="fr-FR"/>
              </w:rPr>
              <w:t xml:space="preserve">les </w:t>
            </w:r>
            <w:r w:rsidR="00F02965" w:rsidRPr="00502F36">
              <w:rPr>
                <w:sz w:val="21"/>
                <w:szCs w:val="20"/>
                <w:lang w:val="fr-FR"/>
              </w:rPr>
              <w:t>universitaires</w:t>
            </w:r>
            <w:r w:rsidR="00475714" w:rsidRPr="00502F36">
              <w:rPr>
                <w:sz w:val="21"/>
                <w:szCs w:val="20"/>
                <w:lang w:val="fr-FR"/>
              </w:rPr>
              <w:t>, en plus de</w:t>
            </w:r>
            <w:r w:rsidR="00F02965" w:rsidRPr="00502F36">
              <w:rPr>
                <w:sz w:val="21"/>
                <w:szCs w:val="20"/>
                <w:lang w:val="fr-FR"/>
              </w:rPr>
              <w:t xml:space="preserve"> de nombreu</w:t>
            </w:r>
            <w:r w:rsidR="00475714" w:rsidRPr="00502F36">
              <w:rPr>
                <w:sz w:val="21"/>
                <w:szCs w:val="20"/>
                <w:lang w:val="fr-FR"/>
              </w:rPr>
              <w:t>ses</w:t>
            </w:r>
            <w:r w:rsidR="00F02965" w:rsidRPr="00502F36">
              <w:rPr>
                <w:sz w:val="21"/>
                <w:szCs w:val="20"/>
                <w:lang w:val="fr-FR"/>
              </w:rPr>
              <w:t xml:space="preserve"> autres </w:t>
            </w:r>
            <w:r w:rsidR="00630381" w:rsidRPr="00502F36">
              <w:rPr>
                <w:sz w:val="21"/>
                <w:szCs w:val="20"/>
                <w:lang w:val="fr-FR"/>
              </w:rPr>
              <w:t>professions contribu</w:t>
            </w:r>
            <w:r w:rsidR="00475714" w:rsidRPr="00502F36">
              <w:rPr>
                <w:sz w:val="21"/>
                <w:szCs w:val="20"/>
                <w:lang w:val="fr-FR"/>
              </w:rPr>
              <w:t>a</w:t>
            </w:r>
            <w:r w:rsidR="00630381" w:rsidRPr="00502F36">
              <w:rPr>
                <w:sz w:val="21"/>
                <w:szCs w:val="20"/>
                <w:lang w:val="fr-FR"/>
              </w:rPr>
              <w:t xml:space="preserve">nt à notre économie </w:t>
            </w:r>
            <w:r w:rsidR="001265F5" w:rsidRPr="00502F36">
              <w:rPr>
                <w:sz w:val="21"/>
                <w:szCs w:val="20"/>
                <w:lang w:val="fr-FR"/>
              </w:rPr>
              <w:t>ainsi qu’</w:t>
            </w:r>
            <w:r w:rsidR="00630381" w:rsidRPr="00502F36">
              <w:rPr>
                <w:sz w:val="21"/>
                <w:szCs w:val="20"/>
                <w:lang w:val="fr-FR"/>
              </w:rPr>
              <w:t>à notre société</w:t>
            </w:r>
            <w:r w:rsidRPr="00502F36">
              <w:rPr>
                <w:sz w:val="21"/>
                <w:szCs w:val="20"/>
                <w:lang w:val="fr-FR"/>
              </w:rPr>
              <w:t>.</w:t>
            </w:r>
          </w:p>
          <w:p w14:paraId="5AB5439E" w14:textId="44952C69" w:rsidR="001745DE" w:rsidRPr="00475714" w:rsidRDefault="00746DFD" w:rsidP="00156F9E">
            <w:pPr>
              <w:numPr>
                <w:ilvl w:val="0"/>
                <w:numId w:val="4"/>
              </w:numPr>
              <w:spacing w:after="40" w:line="240" w:lineRule="auto"/>
              <w:ind w:left="284" w:hanging="340"/>
              <w:rPr>
                <w:sz w:val="21"/>
                <w:szCs w:val="20"/>
                <w:lang w:val="fr-FR"/>
              </w:rPr>
            </w:pPr>
            <w:r w:rsidRPr="00475714">
              <w:rPr>
                <w:b/>
                <w:sz w:val="21"/>
                <w:szCs w:val="20"/>
                <w:lang w:val="fr-FR"/>
              </w:rPr>
              <w:t xml:space="preserve">La recherche </w:t>
            </w:r>
            <w:r w:rsidR="008425F1" w:rsidRPr="00475714">
              <w:rPr>
                <w:b/>
                <w:sz w:val="21"/>
                <w:szCs w:val="20"/>
                <w:lang w:val="fr-FR"/>
              </w:rPr>
              <w:t xml:space="preserve">fondamentale </w:t>
            </w:r>
            <w:r w:rsidRPr="00475714">
              <w:rPr>
                <w:b/>
                <w:sz w:val="21"/>
                <w:szCs w:val="20"/>
                <w:lang w:val="fr-FR"/>
              </w:rPr>
              <w:t xml:space="preserve">est un bon investissement. </w:t>
            </w:r>
            <w:r w:rsidRPr="00475714">
              <w:rPr>
                <w:sz w:val="21"/>
                <w:szCs w:val="20"/>
                <w:lang w:val="fr-FR"/>
              </w:rPr>
              <w:t>Les effets multiplicateurs</w:t>
            </w:r>
            <w:r w:rsidRPr="00475714">
              <w:rPr>
                <w:b/>
                <w:sz w:val="21"/>
                <w:szCs w:val="20"/>
                <w:lang w:val="fr-FR"/>
              </w:rPr>
              <w:t xml:space="preserve"> </w:t>
            </w:r>
            <w:r w:rsidRPr="00475714">
              <w:rPr>
                <w:sz w:val="21"/>
                <w:szCs w:val="20"/>
                <w:lang w:val="fr-FR"/>
              </w:rPr>
              <w:t xml:space="preserve">de la recherche </w:t>
            </w:r>
            <w:r w:rsidR="008425F1" w:rsidRPr="00475714">
              <w:rPr>
                <w:sz w:val="21"/>
                <w:szCs w:val="20"/>
                <w:lang w:val="fr-FR"/>
              </w:rPr>
              <w:t xml:space="preserve">fondamentale </w:t>
            </w:r>
            <w:r w:rsidRPr="00475714">
              <w:rPr>
                <w:sz w:val="21"/>
                <w:szCs w:val="20"/>
                <w:lang w:val="fr-FR"/>
              </w:rPr>
              <w:t xml:space="preserve">et les </w:t>
            </w:r>
            <w:r w:rsidR="00475714">
              <w:rPr>
                <w:sz w:val="21"/>
                <w:szCs w:val="20"/>
                <w:lang w:val="fr-FR"/>
              </w:rPr>
              <w:t>I</w:t>
            </w:r>
            <w:r w:rsidRPr="00475714">
              <w:rPr>
                <w:sz w:val="21"/>
                <w:szCs w:val="20"/>
                <w:lang w:val="fr-FR"/>
              </w:rPr>
              <w:t>nstituts de recherche varient de 2,2 au 2,5</w:t>
            </w:r>
            <w:r w:rsidR="009108D8" w:rsidRPr="00475714">
              <w:rPr>
                <w:sz w:val="21"/>
                <w:szCs w:val="20"/>
                <w:lang w:val="fr-FR"/>
              </w:rPr>
              <w:t xml:space="preserve">, c.-à-d. chaque </w:t>
            </w:r>
            <w:r w:rsidRPr="00475714">
              <w:rPr>
                <w:sz w:val="21"/>
                <w:szCs w:val="20"/>
                <w:lang w:val="fr-FR"/>
              </w:rPr>
              <w:t>1 $ investi génère de 2,20 $ à 2,50 $ en activité économique directe ou indirecte</w:t>
            </w:r>
            <w:r w:rsidR="009E06F7" w:rsidRPr="00475714">
              <w:rPr>
                <w:sz w:val="21"/>
                <w:szCs w:val="20"/>
                <w:lang w:val="fr-FR"/>
              </w:rPr>
              <w:t>.</w:t>
            </w:r>
            <w:r w:rsidR="009E06F7" w:rsidRPr="00475714">
              <w:rPr>
                <w:sz w:val="21"/>
                <w:szCs w:val="20"/>
                <w:vertAlign w:val="superscript"/>
                <w:lang w:val="fr-FR"/>
              </w:rPr>
              <w:t>3,4</w:t>
            </w:r>
            <w:r w:rsidRPr="00475714">
              <w:rPr>
                <w:sz w:val="21"/>
                <w:szCs w:val="20"/>
                <w:lang w:val="fr-FR"/>
              </w:rPr>
              <w:t xml:space="preserve"> On estime des rendements annuels de 20% au 67% de la recherche </w:t>
            </w:r>
            <w:r w:rsidR="008425F1" w:rsidRPr="00475714">
              <w:rPr>
                <w:sz w:val="21"/>
                <w:szCs w:val="20"/>
                <w:lang w:val="fr-FR"/>
              </w:rPr>
              <w:t>fondamentale</w:t>
            </w:r>
            <w:r w:rsidRPr="00475714">
              <w:rPr>
                <w:sz w:val="21"/>
                <w:szCs w:val="20"/>
                <w:lang w:val="fr-FR"/>
              </w:rPr>
              <w:t>.</w:t>
            </w:r>
            <w:r w:rsidRPr="00475714">
              <w:rPr>
                <w:sz w:val="21"/>
                <w:szCs w:val="20"/>
                <w:vertAlign w:val="superscript"/>
                <w:lang w:val="fr-FR"/>
              </w:rPr>
              <w:t>2</w:t>
            </w:r>
            <w:r w:rsidRPr="00475714">
              <w:rPr>
                <w:sz w:val="21"/>
                <w:szCs w:val="20"/>
                <w:lang w:val="fr-FR"/>
              </w:rPr>
              <w:t xml:space="preserve"> La recherche en santé peut être rentable en moins de 5 ans.</w:t>
            </w:r>
            <w:r w:rsidRPr="00475714">
              <w:rPr>
                <w:sz w:val="21"/>
                <w:szCs w:val="20"/>
                <w:vertAlign w:val="superscript"/>
                <w:lang w:val="fr-FR"/>
              </w:rPr>
              <w:t>4</w:t>
            </w:r>
          </w:p>
          <w:p w14:paraId="76EFFD1B" w14:textId="1206BBDD" w:rsidR="001745DE" w:rsidRPr="00475714" w:rsidRDefault="00746DFD" w:rsidP="00156F9E">
            <w:pPr>
              <w:numPr>
                <w:ilvl w:val="0"/>
                <w:numId w:val="4"/>
              </w:numPr>
              <w:spacing w:after="120" w:line="240" w:lineRule="auto"/>
              <w:ind w:left="284" w:hanging="340"/>
              <w:contextualSpacing/>
              <w:rPr>
                <w:lang w:val="fr-FR"/>
              </w:rPr>
            </w:pPr>
            <w:r w:rsidRPr="00475714">
              <w:rPr>
                <w:b/>
                <w:sz w:val="20"/>
                <w:szCs w:val="20"/>
                <w:lang w:val="fr-FR"/>
              </w:rPr>
              <w:t>Le Canada prend du retar</w:t>
            </w:r>
            <w:r w:rsidR="000049E9" w:rsidRPr="00475714">
              <w:rPr>
                <w:b/>
                <w:sz w:val="20"/>
                <w:szCs w:val="20"/>
                <w:lang w:val="fr-FR"/>
              </w:rPr>
              <w:t xml:space="preserve">d face aux autres pays quant </w:t>
            </w:r>
            <w:r w:rsidRPr="00475714">
              <w:rPr>
                <w:b/>
                <w:sz w:val="20"/>
                <w:szCs w:val="20"/>
                <w:lang w:val="fr-FR"/>
              </w:rPr>
              <w:t>aux investissements en recherche</w:t>
            </w:r>
            <w:r w:rsidRPr="00475714">
              <w:rPr>
                <w:sz w:val="20"/>
                <w:szCs w:val="20"/>
                <w:lang w:val="fr-FR"/>
              </w:rPr>
              <w:t>. Voir l’Examen du soutien fédéral aux sciences : « plusieurs pays moins riches sont en train d’augmenter leur capacité en recherche et plusieurs de nos partenaires de l’OCDE investissent massivement en recherche et en innovation.</w:t>
            </w:r>
            <w:r w:rsidR="008425F1" w:rsidRPr="00475714">
              <w:rPr>
                <w:sz w:val="20"/>
                <w:szCs w:val="20"/>
                <w:lang w:val="fr-FR"/>
              </w:rPr>
              <w:t xml:space="preserve"> </w:t>
            </w:r>
            <w:r w:rsidRPr="00475714">
              <w:rPr>
                <w:sz w:val="20"/>
                <w:szCs w:val="20"/>
                <w:lang w:val="fr-FR"/>
              </w:rPr>
              <w:t>»</w:t>
            </w:r>
            <w:r w:rsidRPr="00475714">
              <w:rPr>
                <w:sz w:val="20"/>
                <w:szCs w:val="20"/>
                <w:vertAlign w:val="superscript"/>
                <w:lang w:val="fr-FR"/>
              </w:rPr>
              <w:t>5</w:t>
            </w:r>
          </w:p>
        </w:tc>
        <w:tc>
          <w:tcPr>
            <w:tcW w:w="2694" w:type="dxa"/>
            <w:tcBorders>
              <w:top w:val="nil"/>
              <w:left w:val="nil"/>
              <w:bottom w:val="nil"/>
              <w:right w:val="nil"/>
            </w:tcBorders>
            <w:shd w:val="clear" w:color="auto" w:fill="F4CCCC"/>
            <w:tcMar>
              <w:top w:w="100" w:type="dxa"/>
              <w:left w:w="100" w:type="dxa"/>
              <w:bottom w:w="100" w:type="dxa"/>
              <w:right w:w="100" w:type="dxa"/>
            </w:tcMar>
          </w:tcPr>
          <w:p w14:paraId="6FCDE68C" w14:textId="29D587A5" w:rsidR="001745DE" w:rsidRPr="00475714" w:rsidRDefault="00746DFD" w:rsidP="00FF443C">
            <w:pPr>
              <w:rPr>
                <w:sz w:val="18"/>
                <w:szCs w:val="16"/>
                <w:lang w:val="fr-FR"/>
              </w:rPr>
            </w:pPr>
            <w:r w:rsidRPr="00475714">
              <w:rPr>
                <w:sz w:val="18"/>
                <w:szCs w:val="16"/>
                <w:lang w:val="fr-FR"/>
              </w:rPr>
              <w:t>L'Interne</w:t>
            </w:r>
            <w:r w:rsidR="000049E9" w:rsidRPr="00475714">
              <w:rPr>
                <w:sz w:val="18"/>
                <w:szCs w:val="16"/>
                <w:lang w:val="fr-FR"/>
              </w:rPr>
              <w:t xml:space="preserve">t haute vitesse dont bénéficie plusieurs </w:t>
            </w:r>
            <w:r w:rsidRPr="00475714">
              <w:rPr>
                <w:sz w:val="18"/>
                <w:szCs w:val="16"/>
                <w:lang w:val="fr-FR"/>
              </w:rPr>
              <w:t>canadiens est une conséquence de</w:t>
            </w:r>
            <w:r w:rsidR="00475714">
              <w:rPr>
                <w:sz w:val="18"/>
                <w:szCs w:val="16"/>
                <w:lang w:val="fr-FR"/>
              </w:rPr>
              <w:t xml:space="preserve"> </w:t>
            </w:r>
            <w:r w:rsidRPr="00475714">
              <w:rPr>
                <w:sz w:val="18"/>
                <w:szCs w:val="16"/>
                <w:lang w:val="fr-FR"/>
              </w:rPr>
              <w:t>la recherche fondamentale en fibre optique. Actuellement, ce domaine de recherche conduit à des capteurs qui permettent de mieux détecter les problèmes au niveau</w:t>
            </w:r>
            <w:r w:rsidR="000049E9" w:rsidRPr="00475714">
              <w:rPr>
                <w:sz w:val="18"/>
                <w:szCs w:val="16"/>
                <w:lang w:val="fr-FR"/>
              </w:rPr>
              <w:t xml:space="preserve"> </w:t>
            </w:r>
            <w:r w:rsidRPr="00475714">
              <w:rPr>
                <w:sz w:val="18"/>
                <w:szCs w:val="16"/>
                <w:lang w:val="fr-FR"/>
              </w:rPr>
              <w:t xml:space="preserve">des ponts </w:t>
            </w:r>
            <w:r w:rsidR="00475714">
              <w:rPr>
                <w:sz w:val="18"/>
                <w:szCs w:val="16"/>
                <w:lang w:val="fr-FR"/>
              </w:rPr>
              <w:t>dans le but</w:t>
            </w:r>
            <w:r w:rsidRPr="00475714">
              <w:rPr>
                <w:sz w:val="18"/>
                <w:szCs w:val="16"/>
                <w:lang w:val="fr-FR"/>
              </w:rPr>
              <w:t xml:space="preserve"> d’augmenter la sécurité des canadiens.</w:t>
            </w:r>
          </w:p>
        </w:tc>
        <w:tc>
          <w:tcPr>
            <w:tcW w:w="2750" w:type="dxa"/>
            <w:tcBorders>
              <w:top w:val="nil"/>
              <w:left w:val="nil"/>
              <w:bottom w:val="nil"/>
              <w:right w:val="nil"/>
            </w:tcBorders>
            <w:tcMar>
              <w:top w:w="100" w:type="dxa"/>
              <w:left w:w="100" w:type="dxa"/>
              <w:bottom w:w="100" w:type="dxa"/>
              <w:right w:w="100" w:type="dxa"/>
            </w:tcMar>
          </w:tcPr>
          <w:p w14:paraId="49127EDF" w14:textId="37E1AC74" w:rsidR="001745DE" w:rsidRPr="00475714" w:rsidRDefault="00B60C67" w:rsidP="00FF443C">
            <w:pPr>
              <w:rPr>
                <w:sz w:val="18"/>
                <w:szCs w:val="16"/>
                <w:lang w:val="fr-FR"/>
              </w:rPr>
            </w:pPr>
            <w:r w:rsidRPr="00475714">
              <w:rPr>
                <w:sz w:val="18"/>
                <w:szCs w:val="16"/>
                <w:lang w:val="fr-FR"/>
              </w:rPr>
              <w:t xml:space="preserve">Les chercheurs en éducation et en sciences sociales trouvent de nouvelles façons de lutter contre la discrimination et l'intimidation dans les écoles primaires. Des recherches comme celles-ci permettent de garder les enfants canadiens plus en sécurité et de construire un meilleur Canada pour l'avenir. </w:t>
            </w:r>
          </w:p>
        </w:tc>
      </w:tr>
      <w:tr w:rsidR="00B60C67" w:rsidRPr="00475714" w14:paraId="6959E4E8" w14:textId="77777777" w:rsidTr="00B60C67">
        <w:trPr>
          <w:trHeight w:val="420"/>
        </w:trPr>
        <w:tc>
          <w:tcPr>
            <w:tcW w:w="4636" w:type="dxa"/>
            <w:vMerge/>
            <w:tcBorders>
              <w:top w:val="nil"/>
              <w:left w:val="nil"/>
              <w:bottom w:val="nil"/>
              <w:right w:val="nil"/>
            </w:tcBorders>
            <w:tcMar>
              <w:top w:w="100" w:type="dxa"/>
              <w:left w:w="100" w:type="dxa"/>
              <w:bottom w:w="100" w:type="dxa"/>
              <w:right w:w="100" w:type="dxa"/>
            </w:tcMar>
          </w:tcPr>
          <w:p w14:paraId="621D992D" w14:textId="77777777" w:rsidR="001745DE" w:rsidRPr="00475714" w:rsidRDefault="001745DE">
            <w:pPr>
              <w:spacing w:line="240" w:lineRule="auto"/>
              <w:rPr>
                <w:lang w:val="fr-FR"/>
              </w:rPr>
            </w:pPr>
          </w:p>
        </w:tc>
        <w:tc>
          <w:tcPr>
            <w:tcW w:w="2694" w:type="dxa"/>
            <w:tcBorders>
              <w:top w:val="nil"/>
              <w:left w:val="nil"/>
              <w:bottom w:val="nil"/>
              <w:right w:val="nil"/>
            </w:tcBorders>
            <w:tcMar>
              <w:top w:w="100" w:type="dxa"/>
              <w:left w:w="100" w:type="dxa"/>
              <w:bottom w:w="100" w:type="dxa"/>
              <w:right w:w="100" w:type="dxa"/>
            </w:tcMar>
          </w:tcPr>
          <w:p w14:paraId="248A373B" w14:textId="6FE1972A" w:rsidR="001745DE" w:rsidRPr="00475714" w:rsidRDefault="00746DFD" w:rsidP="004947F9">
            <w:pPr>
              <w:rPr>
                <w:sz w:val="18"/>
                <w:szCs w:val="16"/>
                <w:lang w:val="fr-FR"/>
              </w:rPr>
            </w:pPr>
            <w:r w:rsidRPr="00475714">
              <w:rPr>
                <w:sz w:val="18"/>
                <w:szCs w:val="16"/>
                <w:lang w:val="fr-FR"/>
              </w:rPr>
              <w:t xml:space="preserve">La survie lors d’un accident de voiture est plus probable pour les canadiens grâce aux scientifiques, qui ont créé des matériaux permettant d’absorber plus d'énergie lors d’un accident. Les chercheurs continuent de développer de meilleurs matériaux pour fabriquer des voitures et des fenêtres plus sûres, de meilleurs traitements médicaux, des matériaux de logement moins </w:t>
            </w:r>
            <w:r w:rsidR="004947F9" w:rsidRPr="00502F36">
              <w:rPr>
                <w:sz w:val="18"/>
                <w:szCs w:val="16"/>
                <w:lang w:val="fr-FR"/>
              </w:rPr>
              <w:t>chers</w:t>
            </w:r>
            <w:r w:rsidRPr="00475714">
              <w:rPr>
                <w:sz w:val="18"/>
                <w:szCs w:val="16"/>
                <w:lang w:val="fr-FR"/>
              </w:rPr>
              <w:t>, une énergie plus propre et de nombreux produits utiles.</w:t>
            </w:r>
          </w:p>
        </w:tc>
        <w:tc>
          <w:tcPr>
            <w:tcW w:w="2750" w:type="dxa"/>
            <w:tcBorders>
              <w:top w:val="nil"/>
              <w:left w:val="nil"/>
              <w:bottom w:val="nil"/>
              <w:right w:val="nil"/>
            </w:tcBorders>
            <w:shd w:val="clear" w:color="auto" w:fill="F4CCCC"/>
            <w:tcMar>
              <w:top w:w="100" w:type="dxa"/>
              <w:left w:w="100" w:type="dxa"/>
              <w:bottom w:w="100" w:type="dxa"/>
              <w:right w:w="100" w:type="dxa"/>
            </w:tcMar>
          </w:tcPr>
          <w:p w14:paraId="65758AC7" w14:textId="63D9F323" w:rsidR="001745DE" w:rsidRPr="00475714" w:rsidRDefault="00746DFD">
            <w:pPr>
              <w:rPr>
                <w:sz w:val="18"/>
                <w:szCs w:val="16"/>
                <w:lang w:val="fr-FR"/>
              </w:rPr>
            </w:pPr>
            <w:r w:rsidRPr="00475714">
              <w:rPr>
                <w:sz w:val="18"/>
                <w:szCs w:val="16"/>
                <w:lang w:val="fr-FR"/>
              </w:rPr>
              <w:t>La découverte de l'insuline a eu lieu au Canada. Cette recherche a transformé la vie des personnes atteintes de diabète de type 1 dans le monde entier. Ce type de diabète, causé par un dérèglement</w:t>
            </w:r>
            <w:r w:rsidR="000049E9" w:rsidRPr="00475714">
              <w:rPr>
                <w:sz w:val="18"/>
                <w:szCs w:val="16"/>
                <w:lang w:val="fr-FR"/>
              </w:rPr>
              <w:t xml:space="preserve"> </w:t>
            </w:r>
            <w:r w:rsidRPr="00475714">
              <w:rPr>
                <w:sz w:val="18"/>
                <w:szCs w:val="16"/>
                <w:lang w:val="fr-FR"/>
              </w:rPr>
              <w:t>du système immunitaire, représentait</w:t>
            </w:r>
            <w:r w:rsidR="000049E9" w:rsidRPr="00475714">
              <w:rPr>
                <w:sz w:val="18"/>
                <w:szCs w:val="16"/>
                <w:lang w:val="fr-FR"/>
              </w:rPr>
              <w:t xml:space="preserve"> </w:t>
            </w:r>
            <w:r w:rsidRPr="00475714">
              <w:rPr>
                <w:sz w:val="18"/>
                <w:szCs w:val="16"/>
                <w:lang w:val="fr-FR"/>
              </w:rPr>
              <w:t>la peine de mort pour les enfants et les adultes atteints. Les chercheurs en santé au Canada continuent de faire des progrès qui améliore</w:t>
            </w:r>
            <w:r w:rsidR="009108D8" w:rsidRPr="00475714">
              <w:rPr>
                <w:sz w:val="18"/>
                <w:szCs w:val="16"/>
                <w:lang w:val="fr-FR"/>
              </w:rPr>
              <w:t>nt</w:t>
            </w:r>
            <w:r w:rsidRPr="00475714">
              <w:rPr>
                <w:sz w:val="18"/>
                <w:szCs w:val="16"/>
                <w:lang w:val="fr-FR"/>
              </w:rPr>
              <w:t xml:space="preserve"> la vie des canadiens atteints de tous les types de diabète.</w:t>
            </w:r>
          </w:p>
        </w:tc>
      </w:tr>
      <w:tr w:rsidR="00B60C67" w:rsidRPr="00475714" w14:paraId="28D506A2" w14:textId="77777777" w:rsidTr="00B60C67">
        <w:trPr>
          <w:trHeight w:val="420"/>
        </w:trPr>
        <w:tc>
          <w:tcPr>
            <w:tcW w:w="4636" w:type="dxa"/>
            <w:vMerge/>
            <w:tcBorders>
              <w:top w:val="nil"/>
              <w:left w:val="nil"/>
              <w:bottom w:val="nil"/>
              <w:right w:val="nil"/>
            </w:tcBorders>
            <w:tcMar>
              <w:top w:w="100" w:type="dxa"/>
              <w:left w:w="100" w:type="dxa"/>
              <w:bottom w:w="100" w:type="dxa"/>
              <w:right w:w="100" w:type="dxa"/>
            </w:tcMar>
          </w:tcPr>
          <w:p w14:paraId="38AF98B6" w14:textId="77777777" w:rsidR="001745DE" w:rsidRPr="00475714" w:rsidRDefault="001745DE">
            <w:pPr>
              <w:spacing w:line="240" w:lineRule="auto"/>
              <w:rPr>
                <w:sz w:val="18"/>
                <w:szCs w:val="18"/>
                <w:lang w:val="fr-FR"/>
              </w:rPr>
            </w:pPr>
          </w:p>
        </w:tc>
        <w:tc>
          <w:tcPr>
            <w:tcW w:w="2694" w:type="dxa"/>
            <w:tcBorders>
              <w:top w:val="nil"/>
              <w:left w:val="nil"/>
              <w:bottom w:val="nil"/>
              <w:right w:val="nil"/>
            </w:tcBorders>
            <w:shd w:val="clear" w:color="auto" w:fill="F4CCCC"/>
            <w:tcMar>
              <w:top w:w="100" w:type="dxa"/>
              <w:left w:w="100" w:type="dxa"/>
              <w:bottom w:w="100" w:type="dxa"/>
              <w:right w:w="100" w:type="dxa"/>
            </w:tcMar>
          </w:tcPr>
          <w:p w14:paraId="43823E55" w14:textId="405A22D2" w:rsidR="001745DE" w:rsidRPr="00475714" w:rsidRDefault="00746DFD" w:rsidP="00475714">
            <w:pPr>
              <w:rPr>
                <w:sz w:val="18"/>
                <w:szCs w:val="16"/>
                <w:lang w:val="fr-FR"/>
              </w:rPr>
            </w:pPr>
            <w:r w:rsidRPr="00475714">
              <w:rPr>
                <w:sz w:val="18"/>
                <w:szCs w:val="16"/>
                <w:lang w:val="fr-FR"/>
              </w:rPr>
              <w:t xml:space="preserve">Les chercheurs oeuvrant dans les arts et les sciences sociales </w:t>
            </w:r>
            <w:r w:rsidR="003E7E94" w:rsidRPr="00502F36">
              <w:rPr>
                <w:sz w:val="18"/>
                <w:szCs w:val="16"/>
                <w:lang w:val="fr-FR"/>
              </w:rPr>
              <w:t>nous</w:t>
            </w:r>
            <w:r w:rsidR="003E7E94" w:rsidRPr="00475714">
              <w:rPr>
                <w:sz w:val="18"/>
                <w:szCs w:val="16"/>
                <w:lang w:val="fr-FR"/>
              </w:rPr>
              <w:t xml:space="preserve"> </w:t>
            </w:r>
            <w:r w:rsidRPr="00475714">
              <w:rPr>
                <w:sz w:val="18"/>
                <w:szCs w:val="16"/>
                <w:lang w:val="fr-FR"/>
              </w:rPr>
              <w:t xml:space="preserve">aident à trouver un sens. Des chercheurs et des artistes ont développé une pièce de théâtre « Cracked: New Light on Dementia » dont les spectacles à guichets fermés aident les gens à voir la démence sous un autre angle, ce qui </w:t>
            </w:r>
            <w:r w:rsidR="00475714">
              <w:rPr>
                <w:sz w:val="18"/>
                <w:szCs w:val="16"/>
                <w:lang w:val="fr-FR"/>
              </w:rPr>
              <w:t>permet d’</w:t>
            </w:r>
            <w:r w:rsidRPr="00475714">
              <w:rPr>
                <w:sz w:val="18"/>
                <w:szCs w:val="16"/>
                <w:lang w:val="fr-FR"/>
              </w:rPr>
              <w:t xml:space="preserve">aider les canadiens à </w:t>
            </w:r>
            <w:r w:rsidR="00D74879" w:rsidRPr="00475714">
              <w:rPr>
                <w:sz w:val="18"/>
                <w:szCs w:val="16"/>
                <w:lang w:val="fr-FR"/>
              </w:rPr>
              <w:t>vivre avec</w:t>
            </w:r>
            <w:r w:rsidRPr="00475714">
              <w:rPr>
                <w:sz w:val="18"/>
                <w:szCs w:val="16"/>
                <w:lang w:val="fr-FR"/>
              </w:rPr>
              <w:t xml:space="preserve"> leur maladie ou </w:t>
            </w:r>
            <w:r w:rsidR="00475714">
              <w:rPr>
                <w:sz w:val="18"/>
                <w:szCs w:val="16"/>
                <w:lang w:val="fr-FR"/>
              </w:rPr>
              <w:t>avec</w:t>
            </w:r>
            <w:r w:rsidRPr="00475714">
              <w:rPr>
                <w:sz w:val="18"/>
                <w:szCs w:val="16"/>
                <w:lang w:val="fr-FR"/>
              </w:rPr>
              <w:t xml:space="preserve"> celle de leur proche.</w:t>
            </w:r>
          </w:p>
        </w:tc>
        <w:tc>
          <w:tcPr>
            <w:tcW w:w="2750" w:type="dxa"/>
            <w:tcBorders>
              <w:top w:val="nil"/>
              <w:left w:val="nil"/>
              <w:bottom w:val="nil"/>
              <w:right w:val="nil"/>
            </w:tcBorders>
            <w:tcMar>
              <w:top w:w="100" w:type="dxa"/>
              <w:left w:w="100" w:type="dxa"/>
              <w:bottom w:w="100" w:type="dxa"/>
              <w:right w:w="100" w:type="dxa"/>
            </w:tcMar>
          </w:tcPr>
          <w:p w14:paraId="769E0FE7" w14:textId="003BA863" w:rsidR="001745DE" w:rsidRPr="00475714" w:rsidRDefault="00746DFD" w:rsidP="00FF443C">
            <w:pPr>
              <w:rPr>
                <w:sz w:val="18"/>
                <w:szCs w:val="16"/>
                <w:lang w:val="fr-FR"/>
              </w:rPr>
            </w:pPr>
            <w:r w:rsidRPr="00475714">
              <w:rPr>
                <w:sz w:val="18"/>
                <w:szCs w:val="16"/>
                <w:lang w:val="fr-FR"/>
              </w:rPr>
              <w:t xml:space="preserve">La recherche fondamentale contribue à éviter une tragédie chez les familles canadiennes. La recherche fondamentale </w:t>
            </w:r>
            <w:r w:rsidR="00475714">
              <w:rPr>
                <w:sz w:val="18"/>
                <w:szCs w:val="16"/>
                <w:lang w:val="fr-FR"/>
              </w:rPr>
              <w:t>effectuée lors d</w:t>
            </w:r>
            <w:r w:rsidRPr="00475714">
              <w:rPr>
                <w:sz w:val="18"/>
                <w:szCs w:val="16"/>
                <w:lang w:val="fr-FR"/>
              </w:rPr>
              <w:t>es décennies antérieures a permis de développer des nouveaux traitements pour le cancer</w:t>
            </w:r>
            <w:r w:rsidR="00FF443C" w:rsidRPr="00475714">
              <w:rPr>
                <w:sz w:val="18"/>
                <w:szCs w:val="16"/>
                <w:lang w:val="fr-FR"/>
              </w:rPr>
              <w:t xml:space="preserve">, p.ex. </w:t>
            </w:r>
            <w:r w:rsidRPr="00475714">
              <w:rPr>
                <w:sz w:val="18"/>
                <w:szCs w:val="16"/>
                <w:lang w:val="fr-FR"/>
              </w:rPr>
              <w:t>l'immunothérapie. La recherche sur les modèles animaux a entraîné 30% moins de risque de mort et 50% moins de risque de développer un retard de croissance</w:t>
            </w:r>
            <w:r w:rsidR="000049E9" w:rsidRPr="00475714">
              <w:rPr>
                <w:sz w:val="18"/>
                <w:szCs w:val="16"/>
                <w:lang w:val="fr-FR"/>
              </w:rPr>
              <w:t xml:space="preserve"> </w:t>
            </w:r>
            <w:r w:rsidRPr="00475714">
              <w:rPr>
                <w:sz w:val="18"/>
                <w:szCs w:val="16"/>
                <w:lang w:val="fr-FR"/>
              </w:rPr>
              <w:t xml:space="preserve">chez les bébés prématurés. </w:t>
            </w:r>
          </w:p>
        </w:tc>
      </w:tr>
      <w:tr w:rsidR="00B60C67" w:rsidRPr="00475714" w14:paraId="2EE14A8D" w14:textId="77777777" w:rsidTr="007B3969">
        <w:trPr>
          <w:trHeight w:val="2185"/>
        </w:trPr>
        <w:tc>
          <w:tcPr>
            <w:tcW w:w="4636" w:type="dxa"/>
            <w:vMerge/>
            <w:tcBorders>
              <w:top w:val="nil"/>
              <w:left w:val="nil"/>
              <w:bottom w:val="nil"/>
              <w:right w:val="nil"/>
            </w:tcBorders>
            <w:tcMar>
              <w:top w:w="100" w:type="dxa"/>
              <w:left w:w="100" w:type="dxa"/>
              <w:bottom w:w="100" w:type="dxa"/>
              <w:right w:w="100" w:type="dxa"/>
            </w:tcMar>
          </w:tcPr>
          <w:p w14:paraId="0F6C361E" w14:textId="77777777" w:rsidR="00B60C67" w:rsidRPr="00475714" w:rsidRDefault="00B60C67">
            <w:pPr>
              <w:spacing w:line="240" w:lineRule="auto"/>
              <w:rPr>
                <w:lang w:val="fr-FR"/>
              </w:rPr>
            </w:pPr>
          </w:p>
        </w:tc>
        <w:tc>
          <w:tcPr>
            <w:tcW w:w="2694" w:type="dxa"/>
            <w:tcBorders>
              <w:top w:val="nil"/>
              <w:left w:val="nil"/>
              <w:bottom w:val="nil"/>
              <w:right w:val="nil"/>
            </w:tcBorders>
            <w:tcMar>
              <w:top w:w="100" w:type="dxa"/>
              <w:left w:w="100" w:type="dxa"/>
              <w:bottom w:w="100" w:type="dxa"/>
              <w:right w:w="100" w:type="dxa"/>
            </w:tcMar>
          </w:tcPr>
          <w:p w14:paraId="4564D864" w14:textId="5C9DECC5" w:rsidR="00B60C67" w:rsidRPr="00475714" w:rsidRDefault="00B60C67" w:rsidP="00727E98">
            <w:pPr>
              <w:rPr>
                <w:sz w:val="18"/>
                <w:szCs w:val="16"/>
                <w:lang w:val="fr-FR"/>
              </w:rPr>
            </w:pPr>
            <w:r w:rsidRPr="00475714">
              <w:rPr>
                <w:sz w:val="18"/>
                <w:szCs w:val="16"/>
                <w:lang w:val="fr-FR"/>
              </w:rPr>
              <w:t xml:space="preserve">Dans le domaine de la recherche agricole, le Canada est un chef de file mondial dans la recherche sur les plantes. Cette recherche </w:t>
            </w:r>
            <w:r w:rsidRPr="00502F36">
              <w:rPr>
                <w:sz w:val="18"/>
                <w:szCs w:val="16"/>
                <w:lang w:val="fr-FR"/>
              </w:rPr>
              <w:t>nous</w:t>
            </w:r>
            <w:r w:rsidRPr="00475714">
              <w:rPr>
                <w:sz w:val="18"/>
                <w:szCs w:val="16"/>
                <w:lang w:val="fr-FR"/>
              </w:rPr>
              <w:t xml:space="preserve"> aidera à maintenir un approvisionnement alimentaire sûr dans un environnement qui change rapidement.</w:t>
            </w:r>
          </w:p>
        </w:tc>
        <w:tc>
          <w:tcPr>
            <w:tcW w:w="2750" w:type="dxa"/>
            <w:tcBorders>
              <w:top w:val="nil"/>
              <w:left w:val="nil"/>
              <w:bottom w:val="nil"/>
              <w:right w:val="nil"/>
            </w:tcBorders>
            <w:shd w:val="clear" w:color="auto" w:fill="F4CCCC"/>
            <w:tcMar>
              <w:top w:w="100" w:type="dxa"/>
              <w:left w:w="100" w:type="dxa"/>
              <w:bottom w:w="100" w:type="dxa"/>
              <w:right w:w="100" w:type="dxa"/>
            </w:tcMar>
          </w:tcPr>
          <w:p w14:paraId="48CE56B5" w14:textId="4923F995" w:rsidR="00B60C67" w:rsidRPr="00475714" w:rsidRDefault="00B60C67" w:rsidP="00727E98">
            <w:pPr>
              <w:rPr>
                <w:sz w:val="18"/>
                <w:szCs w:val="16"/>
                <w:lang w:val="fr-FR"/>
              </w:rPr>
            </w:pPr>
            <w:r w:rsidRPr="00475714">
              <w:rPr>
                <w:sz w:val="18"/>
                <w:szCs w:val="16"/>
                <w:lang w:val="fr-FR"/>
              </w:rPr>
              <w:t xml:space="preserve">L'intelligence artificielle est un secteur de l'économie canadienne en pleine croissance qui n’existerait pas si le gouvernement du Canada n’avait pas effectué, il y a de cela plusieurs décennies, des investissements en recherche </w:t>
            </w:r>
            <w:r w:rsidR="00727E98" w:rsidRPr="00475714">
              <w:rPr>
                <w:sz w:val="18"/>
                <w:szCs w:val="16"/>
                <w:lang w:val="fr-FR"/>
              </w:rPr>
              <w:t>fondamentale</w:t>
            </w:r>
            <w:r w:rsidRPr="00475714">
              <w:rPr>
                <w:sz w:val="18"/>
                <w:szCs w:val="16"/>
                <w:lang w:val="fr-FR"/>
              </w:rPr>
              <w:t>.</w:t>
            </w:r>
          </w:p>
        </w:tc>
      </w:tr>
      <w:tr w:rsidR="00B60C67" w14:paraId="68B554DE" w14:textId="77777777">
        <w:trPr>
          <w:trHeight w:val="420"/>
        </w:trPr>
        <w:tc>
          <w:tcPr>
            <w:tcW w:w="10080" w:type="dxa"/>
            <w:gridSpan w:val="3"/>
            <w:tcBorders>
              <w:top w:val="nil"/>
              <w:left w:val="nil"/>
              <w:bottom w:val="nil"/>
              <w:right w:val="nil"/>
            </w:tcBorders>
            <w:tcMar>
              <w:top w:w="100" w:type="dxa"/>
              <w:left w:w="100" w:type="dxa"/>
              <w:bottom w:w="100" w:type="dxa"/>
              <w:right w:w="100" w:type="dxa"/>
            </w:tcMar>
          </w:tcPr>
          <w:p w14:paraId="58B3118E" w14:textId="382BB212" w:rsidR="00B60C67" w:rsidRDefault="00B60C67" w:rsidP="007B3969">
            <w:pPr>
              <w:spacing w:line="240" w:lineRule="auto"/>
              <w:jc w:val="center"/>
            </w:pPr>
            <w:r w:rsidRPr="00475714">
              <w:rPr>
                <w:b/>
                <w:sz w:val="32"/>
                <w:szCs w:val="32"/>
                <w:lang w:val="fr-FR"/>
              </w:rPr>
              <w:lastRenderedPageBreak/>
              <w:t xml:space="preserve">Merci pour votre appui à la recherche </w:t>
            </w:r>
            <w:r w:rsidR="007B3969" w:rsidRPr="00475714">
              <w:rPr>
                <w:b/>
                <w:sz w:val="32"/>
                <w:szCs w:val="32"/>
                <w:lang w:val="fr-FR"/>
              </w:rPr>
              <w:t>fondamentale</w:t>
            </w:r>
            <w:r w:rsidRPr="00475714">
              <w:rPr>
                <w:b/>
                <w:sz w:val="32"/>
                <w:szCs w:val="32"/>
                <w:lang w:val="fr-FR"/>
              </w:rPr>
              <w:t xml:space="preserve">. </w:t>
            </w:r>
            <w:r w:rsidRPr="00463EDD">
              <w:rPr>
                <w:b/>
                <w:color w:val="980000"/>
                <w:sz w:val="32"/>
                <w:szCs w:val="32"/>
              </w:rPr>
              <w:t>#summerofscienceCAN</w:t>
            </w:r>
          </w:p>
        </w:tc>
      </w:tr>
    </w:tbl>
    <w:p w14:paraId="339899E8" w14:textId="77777777" w:rsidR="00463EDD" w:rsidRDefault="00463EDD" w:rsidP="000049E9">
      <w:pPr>
        <w:rPr>
          <w:i/>
          <w:iCs/>
          <w:sz w:val="20"/>
          <w:szCs w:val="20"/>
        </w:rPr>
      </w:pPr>
    </w:p>
    <w:p w14:paraId="6276DD2A" w14:textId="77777777" w:rsidR="000049E9" w:rsidRPr="00475714" w:rsidRDefault="000049E9" w:rsidP="000049E9">
      <w:pPr>
        <w:rPr>
          <w:i/>
          <w:sz w:val="21"/>
          <w:szCs w:val="21"/>
          <w:lang w:val="fr-FR"/>
        </w:rPr>
      </w:pPr>
      <w:r w:rsidRPr="00475714">
        <w:rPr>
          <w:i/>
          <w:iCs/>
          <w:sz w:val="21"/>
          <w:szCs w:val="21"/>
          <w:lang w:val="fr-FR"/>
        </w:rPr>
        <w:t>Le masculin</w:t>
      </w:r>
      <w:r w:rsidRPr="00475714">
        <w:rPr>
          <w:i/>
          <w:sz w:val="21"/>
          <w:szCs w:val="21"/>
          <w:lang w:val="fr-FR"/>
        </w:rPr>
        <w:t xml:space="preserve"> est utilisé sans aucune discrimination et dans le seul </w:t>
      </w:r>
      <w:r w:rsidRPr="00475714">
        <w:rPr>
          <w:i/>
          <w:iCs/>
          <w:sz w:val="21"/>
          <w:szCs w:val="21"/>
          <w:lang w:val="fr-FR"/>
        </w:rPr>
        <w:t>but d'alléger</w:t>
      </w:r>
      <w:r w:rsidRPr="00475714">
        <w:rPr>
          <w:i/>
          <w:sz w:val="21"/>
          <w:szCs w:val="21"/>
          <w:lang w:val="fr-FR"/>
        </w:rPr>
        <w:t xml:space="preserve"> le texte. </w:t>
      </w:r>
    </w:p>
    <w:p w14:paraId="050F8A6C" w14:textId="77777777" w:rsidR="000049E9" w:rsidRPr="00475714" w:rsidRDefault="000049E9">
      <w:pPr>
        <w:rPr>
          <w:b/>
          <w:sz w:val="21"/>
          <w:szCs w:val="21"/>
          <w:lang w:val="fr-FR"/>
        </w:rPr>
      </w:pPr>
    </w:p>
    <w:p w14:paraId="403E15DE" w14:textId="77777777" w:rsidR="001745DE" w:rsidRPr="00463EDD" w:rsidRDefault="00746DFD">
      <w:pPr>
        <w:rPr>
          <w:b/>
          <w:sz w:val="21"/>
          <w:szCs w:val="21"/>
        </w:rPr>
      </w:pPr>
      <w:r w:rsidRPr="00463EDD">
        <w:rPr>
          <w:b/>
          <w:sz w:val="21"/>
          <w:szCs w:val="21"/>
        </w:rPr>
        <w:t>Références</w:t>
      </w:r>
    </w:p>
    <w:p w14:paraId="2AB7FFA9" w14:textId="40F5922A" w:rsidR="001C3F4E" w:rsidRPr="00463EDD" w:rsidRDefault="001C3F4E">
      <w:pPr>
        <w:numPr>
          <w:ilvl w:val="0"/>
          <w:numId w:val="3"/>
        </w:numPr>
        <w:ind w:hanging="360"/>
        <w:contextualSpacing/>
        <w:rPr>
          <w:rFonts w:eastAsia="Calibri"/>
          <w:sz w:val="21"/>
          <w:szCs w:val="21"/>
        </w:rPr>
      </w:pPr>
      <w:r w:rsidRPr="00463EDD">
        <w:rPr>
          <w:rFonts w:eastAsia="Calibri"/>
          <w:sz w:val="21"/>
          <w:szCs w:val="21"/>
        </w:rPr>
        <w:t xml:space="preserve">Weinberg BA, Owen-Smith J, Rosen RF, Schwarz L, Allen BM, Weiss RE, et al. Research funding. Science funding and short-term economic activity. </w:t>
      </w:r>
      <w:r w:rsidRPr="00463EDD">
        <w:rPr>
          <w:rFonts w:eastAsia="Calibri"/>
          <w:i/>
          <w:sz w:val="21"/>
          <w:szCs w:val="21"/>
        </w:rPr>
        <w:t>Science</w:t>
      </w:r>
      <w:r w:rsidRPr="00463EDD">
        <w:rPr>
          <w:rFonts w:eastAsia="Calibri"/>
          <w:sz w:val="21"/>
          <w:szCs w:val="21"/>
        </w:rPr>
        <w:t>. 2014;344: 41–43.</w:t>
      </w:r>
    </w:p>
    <w:p w14:paraId="28D9CE2D" w14:textId="6FD7B2DC" w:rsidR="001745DE" w:rsidRPr="00463EDD" w:rsidRDefault="00746DFD">
      <w:pPr>
        <w:numPr>
          <w:ilvl w:val="0"/>
          <w:numId w:val="3"/>
        </w:numPr>
        <w:ind w:hanging="360"/>
        <w:contextualSpacing/>
        <w:rPr>
          <w:rFonts w:eastAsia="Calibri"/>
          <w:sz w:val="21"/>
          <w:szCs w:val="21"/>
        </w:rPr>
      </w:pPr>
      <w:r w:rsidRPr="00463EDD">
        <w:rPr>
          <w:rFonts w:eastAsia="Calibri"/>
          <w:sz w:val="21"/>
          <w:szCs w:val="21"/>
        </w:rPr>
        <w:t xml:space="preserve">Goldschlag N, Bianchini S, Lane J, Sanmartín Sola J, Weinberg B. Research Funding and Regional Economies. </w:t>
      </w:r>
      <w:r w:rsidRPr="00463EDD">
        <w:rPr>
          <w:rFonts w:eastAsia="Calibri"/>
          <w:i/>
          <w:sz w:val="21"/>
          <w:szCs w:val="21"/>
        </w:rPr>
        <w:t>National Bureau of Economic Research</w:t>
      </w:r>
      <w:r w:rsidRPr="00463EDD">
        <w:rPr>
          <w:rFonts w:eastAsia="Calibri"/>
          <w:sz w:val="21"/>
          <w:szCs w:val="21"/>
        </w:rPr>
        <w:t>. January 2017: NBER Working Paper No. 23018; JEL No. O31, R1.</w:t>
      </w:r>
    </w:p>
    <w:p w14:paraId="46C756BC" w14:textId="77777777" w:rsidR="001745DE" w:rsidRPr="00463EDD" w:rsidRDefault="00746DFD">
      <w:pPr>
        <w:numPr>
          <w:ilvl w:val="0"/>
          <w:numId w:val="3"/>
        </w:numPr>
        <w:ind w:hanging="360"/>
        <w:contextualSpacing/>
        <w:rPr>
          <w:rFonts w:eastAsia="Calibri"/>
          <w:sz w:val="21"/>
          <w:szCs w:val="21"/>
        </w:rPr>
      </w:pPr>
      <w:r w:rsidRPr="00463EDD">
        <w:rPr>
          <w:rFonts w:eastAsia="Calibri"/>
          <w:sz w:val="21"/>
          <w:szCs w:val="21"/>
        </w:rPr>
        <w:t xml:space="preserve">Macilwain C. Science economics: What science is really worth. </w:t>
      </w:r>
      <w:r w:rsidRPr="00463EDD">
        <w:rPr>
          <w:rFonts w:eastAsia="Calibri"/>
          <w:i/>
          <w:sz w:val="21"/>
          <w:szCs w:val="21"/>
        </w:rPr>
        <w:t>Nature</w:t>
      </w:r>
      <w:r w:rsidRPr="00463EDD">
        <w:rPr>
          <w:rFonts w:eastAsia="Calibri"/>
          <w:sz w:val="21"/>
          <w:szCs w:val="21"/>
        </w:rPr>
        <w:t>. 2010: 682–684.</w:t>
      </w:r>
    </w:p>
    <w:p w14:paraId="68574196" w14:textId="192A3221" w:rsidR="001745DE" w:rsidRPr="00463EDD" w:rsidRDefault="00746DFD">
      <w:pPr>
        <w:numPr>
          <w:ilvl w:val="0"/>
          <w:numId w:val="3"/>
        </w:numPr>
        <w:ind w:hanging="360"/>
        <w:contextualSpacing/>
        <w:rPr>
          <w:rFonts w:eastAsia="Calibri"/>
          <w:sz w:val="21"/>
          <w:szCs w:val="21"/>
        </w:rPr>
      </w:pPr>
      <w:r w:rsidRPr="00463EDD">
        <w:rPr>
          <w:rFonts w:eastAsia="Calibri"/>
          <w:sz w:val="21"/>
          <w:szCs w:val="21"/>
        </w:rPr>
        <w:t xml:space="preserve">Umbach, T. The Economic Impact of Canada’s Faculties of Medicine and Health Science Partners. </w:t>
      </w:r>
      <w:r w:rsidRPr="00463EDD">
        <w:rPr>
          <w:rFonts w:eastAsia="Calibri"/>
          <w:i/>
          <w:sz w:val="21"/>
          <w:szCs w:val="21"/>
        </w:rPr>
        <w:t>The Association of the Faculties of Medicine of Canada</w:t>
      </w:r>
      <w:r w:rsidRPr="00463EDD">
        <w:rPr>
          <w:rFonts w:eastAsia="Calibri"/>
          <w:sz w:val="21"/>
          <w:szCs w:val="21"/>
        </w:rPr>
        <w:t xml:space="preserve">, p.8. 2014. </w:t>
      </w:r>
      <w:r w:rsidR="00C16B16" w:rsidRPr="00463EDD">
        <w:rPr>
          <w:rFonts w:eastAsia="Calibri"/>
          <w:sz w:val="21"/>
          <w:szCs w:val="21"/>
        </w:rPr>
        <w:t>Disponible</w:t>
      </w:r>
      <w:r w:rsidR="007744DC" w:rsidRPr="00463EDD">
        <w:rPr>
          <w:rFonts w:eastAsia="Calibri"/>
          <w:sz w:val="21"/>
          <w:szCs w:val="21"/>
        </w:rPr>
        <w:t xml:space="preserve"> </w:t>
      </w:r>
      <w:r w:rsidRPr="00463EDD">
        <w:rPr>
          <w:rFonts w:eastAsia="Calibri"/>
          <w:sz w:val="21"/>
          <w:szCs w:val="21"/>
        </w:rPr>
        <w:t xml:space="preserve">: </w:t>
      </w:r>
      <w:hyperlink r:id="rId7">
        <w:r w:rsidRPr="00463EDD">
          <w:rPr>
            <w:rFonts w:eastAsia="Calibri"/>
            <w:sz w:val="21"/>
            <w:szCs w:val="21"/>
          </w:rPr>
          <w:t>afmc.ca/pdf/Economic_Impact_Study_Report_FINAL_EN.pdf</w:t>
        </w:r>
      </w:hyperlink>
      <w:r w:rsidRPr="00463EDD">
        <w:rPr>
          <w:rFonts w:eastAsia="Calibri"/>
          <w:sz w:val="21"/>
          <w:szCs w:val="21"/>
        </w:rPr>
        <w:t xml:space="preserve"> [</w:t>
      </w:r>
      <w:r w:rsidR="007744DC" w:rsidRPr="00463EDD">
        <w:rPr>
          <w:rFonts w:eastAsia="Calibri"/>
          <w:sz w:val="21"/>
          <w:szCs w:val="21"/>
        </w:rPr>
        <w:t>consult</w:t>
      </w:r>
      <w:r w:rsidR="00C16B16" w:rsidRPr="00463EDD">
        <w:rPr>
          <w:rFonts w:eastAsia="Calibri"/>
          <w:sz w:val="21"/>
          <w:szCs w:val="21"/>
        </w:rPr>
        <w:t>é</w:t>
      </w:r>
      <w:r w:rsidR="007744DC" w:rsidRPr="00463EDD">
        <w:rPr>
          <w:rFonts w:eastAsia="Calibri"/>
          <w:sz w:val="21"/>
          <w:szCs w:val="21"/>
        </w:rPr>
        <w:t xml:space="preserve"> le 19 mai</w:t>
      </w:r>
      <w:r w:rsidRPr="00463EDD">
        <w:rPr>
          <w:rFonts w:eastAsia="Calibri"/>
          <w:sz w:val="21"/>
          <w:szCs w:val="21"/>
        </w:rPr>
        <w:t xml:space="preserve"> 2017]</w:t>
      </w:r>
    </w:p>
    <w:p w14:paraId="767C08C8" w14:textId="77777777" w:rsidR="001745DE" w:rsidRPr="00463EDD" w:rsidRDefault="00746DFD">
      <w:pPr>
        <w:numPr>
          <w:ilvl w:val="0"/>
          <w:numId w:val="3"/>
        </w:numPr>
        <w:ind w:hanging="360"/>
        <w:contextualSpacing/>
        <w:rPr>
          <w:rFonts w:eastAsia="Calibri"/>
          <w:sz w:val="21"/>
          <w:szCs w:val="21"/>
        </w:rPr>
      </w:pPr>
      <w:r w:rsidRPr="00463EDD">
        <w:rPr>
          <w:rFonts w:eastAsia="Calibri"/>
          <w:sz w:val="21"/>
          <w:szCs w:val="21"/>
        </w:rPr>
        <w:t xml:space="preserve">de Oliveira C, Nguyen HV, Wijeysundera HC, Wong WWL, Woo G, Grootendorst P, et al. Estimating the payoffs from cardiovascular disease research in Canada: an economic analysis. </w:t>
      </w:r>
      <w:r w:rsidRPr="00463EDD">
        <w:rPr>
          <w:rFonts w:eastAsia="Calibri"/>
          <w:i/>
          <w:sz w:val="21"/>
          <w:szCs w:val="21"/>
        </w:rPr>
        <w:t>CMAJ Open</w:t>
      </w:r>
      <w:r w:rsidRPr="00463EDD">
        <w:rPr>
          <w:rFonts w:eastAsia="Calibri"/>
          <w:sz w:val="21"/>
          <w:szCs w:val="21"/>
        </w:rPr>
        <w:t>. 2013;1: E83–90.</w:t>
      </w:r>
    </w:p>
    <w:p w14:paraId="0F69D313" w14:textId="4339BD91" w:rsidR="001745DE" w:rsidRPr="00463EDD" w:rsidRDefault="00746DFD">
      <w:pPr>
        <w:numPr>
          <w:ilvl w:val="0"/>
          <w:numId w:val="3"/>
        </w:numPr>
        <w:ind w:hanging="360"/>
        <w:contextualSpacing/>
        <w:rPr>
          <w:rFonts w:eastAsia="Calibri"/>
          <w:sz w:val="21"/>
          <w:szCs w:val="21"/>
        </w:rPr>
      </w:pPr>
      <w:r w:rsidRPr="00463EDD">
        <w:rPr>
          <w:rFonts w:eastAsia="Calibri"/>
          <w:sz w:val="21"/>
          <w:szCs w:val="21"/>
        </w:rPr>
        <w:t xml:space="preserve">Naylor CD, Birgeneau RJ, Crago M, Lazaridis M, Malacrida C, McDonald AB, Piper MC, Quirion R, Wilson A. Investing in Canada’s Future: Strengthening the Foundations of Canadian Research. </w:t>
      </w:r>
      <w:r w:rsidRPr="00463EDD">
        <w:rPr>
          <w:rFonts w:eastAsia="Calibri"/>
          <w:i/>
          <w:sz w:val="21"/>
          <w:szCs w:val="21"/>
        </w:rPr>
        <w:t>Government of Canada</w:t>
      </w:r>
      <w:r w:rsidRPr="00463EDD">
        <w:rPr>
          <w:rFonts w:eastAsia="Calibri"/>
          <w:sz w:val="21"/>
          <w:szCs w:val="21"/>
        </w:rPr>
        <w:t xml:space="preserve">, p.13. 2017. </w:t>
      </w:r>
      <w:r w:rsidR="007744DC" w:rsidRPr="00463EDD">
        <w:rPr>
          <w:rFonts w:eastAsia="Calibri"/>
          <w:sz w:val="21"/>
          <w:szCs w:val="21"/>
        </w:rPr>
        <w:t xml:space="preserve">Disponible </w:t>
      </w:r>
      <w:r w:rsidRPr="00463EDD">
        <w:rPr>
          <w:rFonts w:eastAsia="Calibri"/>
          <w:sz w:val="21"/>
          <w:szCs w:val="21"/>
        </w:rPr>
        <w:t xml:space="preserve">: </w:t>
      </w:r>
      <w:hyperlink r:id="rId8">
        <w:r w:rsidRPr="00463EDD">
          <w:rPr>
            <w:rFonts w:eastAsia="Calibri"/>
            <w:sz w:val="21"/>
            <w:szCs w:val="21"/>
          </w:rPr>
          <w:t>sciencereview.ca/eic/site/059.nsf/eng/home</w:t>
        </w:r>
      </w:hyperlink>
      <w:r w:rsidR="000049E9" w:rsidRPr="00463EDD">
        <w:rPr>
          <w:rFonts w:eastAsia="Calibri"/>
          <w:sz w:val="21"/>
          <w:szCs w:val="21"/>
        </w:rPr>
        <w:t xml:space="preserve"> </w:t>
      </w:r>
      <w:r w:rsidRPr="00463EDD">
        <w:rPr>
          <w:rFonts w:eastAsia="Calibri"/>
          <w:sz w:val="21"/>
          <w:szCs w:val="21"/>
        </w:rPr>
        <w:t>[</w:t>
      </w:r>
      <w:r w:rsidR="007744DC" w:rsidRPr="00463EDD">
        <w:rPr>
          <w:rFonts w:eastAsia="Calibri"/>
          <w:sz w:val="21"/>
          <w:szCs w:val="21"/>
        </w:rPr>
        <w:t>consulté le 19 mai 2017</w:t>
      </w:r>
      <w:r w:rsidRPr="00463EDD">
        <w:rPr>
          <w:rFonts w:eastAsia="Calibri"/>
          <w:sz w:val="21"/>
          <w:szCs w:val="21"/>
        </w:rPr>
        <w:t>]</w:t>
      </w:r>
    </w:p>
    <w:p w14:paraId="69D34176" w14:textId="77777777" w:rsidR="001745DE" w:rsidRPr="00463EDD" w:rsidRDefault="001745DE">
      <w:pPr>
        <w:rPr>
          <w:rFonts w:eastAsia="Calibri"/>
          <w:sz w:val="21"/>
          <w:szCs w:val="21"/>
        </w:rPr>
      </w:pPr>
    </w:p>
    <w:p w14:paraId="5D6E830E" w14:textId="77777777" w:rsidR="00463EDD" w:rsidRPr="00502F36" w:rsidRDefault="00746DFD">
      <w:pPr>
        <w:rPr>
          <w:rFonts w:eastAsia="Calibri"/>
          <w:sz w:val="21"/>
          <w:szCs w:val="21"/>
          <w:lang w:val="fr-FR"/>
        </w:rPr>
      </w:pPr>
      <w:r w:rsidRPr="00502F36">
        <w:rPr>
          <w:rFonts w:eastAsia="Calibri"/>
          <w:sz w:val="21"/>
          <w:szCs w:val="21"/>
          <w:lang w:val="fr-FR"/>
        </w:rPr>
        <w:t xml:space="preserve">Préparé par l’Association des chercheurs canadiens en santé en début de carrière (ACCSDC : acechr.ca) et diffusé </w:t>
      </w:r>
      <w:r w:rsidR="00463EDD" w:rsidRPr="00502F36">
        <w:rPr>
          <w:rFonts w:eastAsia="Calibri"/>
          <w:sz w:val="21"/>
          <w:szCs w:val="21"/>
          <w:lang w:val="fr-FR"/>
        </w:rPr>
        <w:t xml:space="preserve">largement </w:t>
      </w:r>
      <w:r w:rsidRPr="00502F36">
        <w:rPr>
          <w:rFonts w:eastAsia="Calibri"/>
          <w:sz w:val="21"/>
          <w:szCs w:val="21"/>
          <w:lang w:val="fr-FR"/>
        </w:rPr>
        <w:t>en tant que document modifiable.</w:t>
      </w:r>
    </w:p>
    <w:p w14:paraId="5AC90F72" w14:textId="77777777" w:rsidR="00463EDD" w:rsidRPr="00502F36" w:rsidRDefault="00463EDD">
      <w:pPr>
        <w:rPr>
          <w:rFonts w:eastAsia="Calibri"/>
          <w:sz w:val="21"/>
          <w:szCs w:val="21"/>
          <w:lang w:val="fr-FR"/>
        </w:rPr>
      </w:pPr>
    </w:p>
    <w:p w14:paraId="0F9BA153" w14:textId="042A964F" w:rsidR="00463EDD" w:rsidRPr="00502F36" w:rsidRDefault="009108D8">
      <w:pPr>
        <w:rPr>
          <w:rFonts w:eastAsia="Calibri"/>
          <w:b/>
          <w:sz w:val="21"/>
          <w:szCs w:val="21"/>
          <w:lang w:val="fr-FR"/>
        </w:rPr>
      </w:pPr>
      <w:r w:rsidRPr="00502F36">
        <w:rPr>
          <w:rFonts w:eastAsia="Calibri"/>
          <w:b/>
          <w:sz w:val="21"/>
          <w:szCs w:val="21"/>
          <w:lang w:val="fr-FR"/>
        </w:rPr>
        <w:t>Membre</w:t>
      </w:r>
      <w:r w:rsidR="00D649C5" w:rsidRPr="00502F36">
        <w:rPr>
          <w:rFonts w:eastAsia="Calibri"/>
          <w:b/>
          <w:sz w:val="21"/>
          <w:szCs w:val="21"/>
          <w:lang w:val="fr-FR"/>
        </w:rPr>
        <w:t>s</w:t>
      </w:r>
      <w:r w:rsidRPr="00502F36">
        <w:rPr>
          <w:rFonts w:eastAsia="Calibri"/>
          <w:b/>
          <w:sz w:val="21"/>
          <w:szCs w:val="21"/>
          <w:lang w:val="fr-FR"/>
        </w:rPr>
        <w:t xml:space="preserve"> du comité </w:t>
      </w:r>
      <w:r w:rsidR="00746DFD" w:rsidRPr="00502F36">
        <w:rPr>
          <w:rFonts w:eastAsia="Calibri"/>
          <w:b/>
          <w:sz w:val="21"/>
          <w:szCs w:val="21"/>
          <w:lang w:val="fr-FR"/>
        </w:rPr>
        <w:t xml:space="preserve">ACCSDC </w:t>
      </w:r>
      <w:r w:rsidRPr="00502F36">
        <w:rPr>
          <w:rFonts w:eastAsia="Calibri"/>
          <w:b/>
          <w:sz w:val="21"/>
          <w:szCs w:val="21"/>
          <w:lang w:val="fr-FR"/>
        </w:rPr>
        <w:t>et conseillers</w:t>
      </w:r>
      <w:r w:rsidR="00746DFD" w:rsidRPr="00502F36">
        <w:rPr>
          <w:rFonts w:eastAsia="Calibri"/>
          <w:b/>
          <w:sz w:val="21"/>
          <w:szCs w:val="21"/>
          <w:lang w:val="fr-FR"/>
        </w:rPr>
        <w:t xml:space="preserve"> :</w:t>
      </w:r>
      <w:r w:rsidR="003E7E94" w:rsidRPr="00502F36">
        <w:rPr>
          <w:rFonts w:eastAsia="Calibri"/>
          <w:b/>
          <w:sz w:val="21"/>
          <w:szCs w:val="21"/>
          <w:lang w:val="fr-FR"/>
        </w:rPr>
        <w:t xml:space="preserve"> </w:t>
      </w:r>
    </w:p>
    <w:p w14:paraId="3613BF98" w14:textId="77777777" w:rsidR="00463EDD" w:rsidRPr="00502F36" w:rsidRDefault="00746DFD">
      <w:pPr>
        <w:rPr>
          <w:rFonts w:eastAsia="Calibri"/>
          <w:sz w:val="21"/>
          <w:szCs w:val="21"/>
          <w:lang w:val="fr-FR"/>
        </w:rPr>
      </w:pPr>
      <w:r w:rsidRPr="00502F36">
        <w:rPr>
          <w:rFonts w:eastAsia="Calibri"/>
          <w:sz w:val="21"/>
          <w:szCs w:val="21"/>
          <w:lang w:val="fr-FR"/>
        </w:rPr>
        <w:t>Holly Witteman, PhD, Université Laval (</w:t>
      </w:r>
      <w:r w:rsidR="009108D8" w:rsidRPr="00502F36">
        <w:rPr>
          <w:rFonts w:eastAsia="Calibri"/>
          <w:sz w:val="21"/>
          <w:szCs w:val="21"/>
          <w:lang w:val="fr-FR"/>
        </w:rPr>
        <w:t>présidente du comité</w:t>
      </w:r>
      <w:r w:rsidRPr="00502F36">
        <w:rPr>
          <w:rFonts w:eastAsia="Calibri"/>
          <w:sz w:val="21"/>
          <w:szCs w:val="21"/>
          <w:lang w:val="fr-FR"/>
        </w:rPr>
        <w:t>)</w:t>
      </w:r>
    </w:p>
    <w:p w14:paraId="56D11948" w14:textId="1989488B" w:rsidR="00463EDD" w:rsidRPr="00463EDD" w:rsidRDefault="00746DFD">
      <w:pPr>
        <w:rPr>
          <w:rFonts w:eastAsia="Calibri"/>
          <w:sz w:val="21"/>
          <w:szCs w:val="21"/>
        </w:rPr>
      </w:pPr>
      <w:r w:rsidRPr="00463EDD">
        <w:rPr>
          <w:rFonts w:eastAsia="Calibri"/>
          <w:sz w:val="21"/>
          <w:szCs w:val="21"/>
        </w:rPr>
        <w:t>Andrew Pruszynski, PhD, Western University</w:t>
      </w:r>
    </w:p>
    <w:p w14:paraId="6BC82C0A" w14:textId="42B0C33B" w:rsidR="00463EDD" w:rsidRPr="00463EDD" w:rsidRDefault="00746DFD">
      <w:pPr>
        <w:rPr>
          <w:rFonts w:eastAsia="Calibri"/>
          <w:sz w:val="21"/>
          <w:szCs w:val="21"/>
        </w:rPr>
      </w:pPr>
      <w:r w:rsidRPr="00463EDD">
        <w:rPr>
          <w:rFonts w:eastAsia="Calibri"/>
          <w:sz w:val="21"/>
          <w:szCs w:val="21"/>
        </w:rPr>
        <w:t>Elizabeth Rideout, PhD, University of British Columbia</w:t>
      </w:r>
    </w:p>
    <w:p w14:paraId="27A69628" w14:textId="123E73E5" w:rsidR="00463EDD" w:rsidRPr="00463EDD" w:rsidRDefault="00746DFD">
      <w:pPr>
        <w:rPr>
          <w:rFonts w:eastAsia="Calibri"/>
          <w:sz w:val="21"/>
          <w:szCs w:val="21"/>
        </w:rPr>
      </w:pPr>
      <w:r w:rsidRPr="00463EDD">
        <w:rPr>
          <w:rFonts w:eastAsia="Calibri"/>
          <w:sz w:val="21"/>
          <w:szCs w:val="21"/>
        </w:rPr>
        <w:t>Kristin Connor, PhD, Carleton University</w:t>
      </w:r>
    </w:p>
    <w:p w14:paraId="1A38428A" w14:textId="00F0DA48" w:rsidR="00463EDD" w:rsidRPr="00463EDD" w:rsidRDefault="00746DFD">
      <w:pPr>
        <w:rPr>
          <w:rFonts w:eastAsia="Calibri"/>
          <w:sz w:val="21"/>
          <w:szCs w:val="21"/>
        </w:rPr>
      </w:pPr>
      <w:r w:rsidRPr="00463EDD">
        <w:rPr>
          <w:rFonts w:eastAsia="Calibri"/>
          <w:sz w:val="21"/>
          <w:szCs w:val="21"/>
        </w:rPr>
        <w:t>Meghan Azad, PhD, University of Manitoba</w:t>
      </w:r>
    </w:p>
    <w:p w14:paraId="178BB6DE" w14:textId="32F2B793" w:rsidR="00463EDD" w:rsidRPr="00463EDD" w:rsidRDefault="00746DFD">
      <w:pPr>
        <w:rPr>
          <w:rFonts w:eastAsia="Calibri"/>
          <w:sz w:val="21"/>
          <w:szCs w:val="21"/>
        </w:rPr>
      </w:pPr>
      <w:r w:rsidRPr="00463EDD">
        <w:rPr>
          <w:rFonts w:eastAsia="Calibri"/>
          <w:sz w:val="21"/>
          <w:szCs w:val="21"/>
        </w:rPr>
        <w:t>Michael Hendricks, PhD, McGill University</w:t>
      </w:r>
    </w:p>
    <w:p w14:paraId="39E62DE6" w14:textId="24795DD1" w:rsidR="00463EDD" w:rsidRPr="00463EDD" w:rsidRDefault="00746DFD">
      <w:pPr>
        <w:rPr>
          <w:rFonts w:eastAsia="Calibri"/>
          <w:sz w:val="21"/>
          <w:szCs w:val="21"/>
        </w:rPr>
      </w:pPr>
      <w:r w:rsidRPr="00463EDD">
        <w:rPr>
          <w:rFonts w:eastAsia="Calibri"/>
          <w:sz w:val="21"/>
          <w:szCs w:val="21"/>
        </w:rPr>
        <w:t>Michael Hoffman, PhD, University of Toronto</w:t>
      </w:r>
    </w:p>
    <w:p w14:paraId="19C57A0F" w14:textId="5F10F0FB" w:rsidR="00463EDD" w:rsidRPr="00463EDD" w:rsidRDefault="003E7E94">
      <w:pPr>
        <w:rPr>
          <w:rFonts w:eastAsia="Calibri"/>
          <w:sz w:val="21"/>
          <w:szCs w:val="21"/>
        </w:rPr>
      </w:pPr>
      <w:r w:rsidRPr="00463EDD">
        <w:rPr>
          <w:rFonts w:eastAsia="Calibri"/>
          <w:sz w:val="21"/>
          <w:szCs w:val="21"/>
        </w:rPr>
        <w:t>Patrice Brassard, PhD, Université Laval</w:t>
      </w:r>
    </w:p>
    <w:p w14:paraId="3D9E7CC2" w14:textId="27F9AB68" w:rsidR="00463EDD" w:rsidRPr="00463EDD" w:rsidRDefault="00746DFD">
      <w:pPr>
        <w:rPr>
          <w:rFonts w:eastAsia="Calibri"/>
          <w:sz w:val="21"/>
          <w:szCs w:val="21"/>
        </w:rPr>
      </w:pPr>
      <w:r w:rsidRPr="00463EDD">
        <w:rPr>
          <w:rFonts w:eastAsia="Calibri"/>
          <w:sz w:val="21"/>
          <w:szCs w:val="21"/>
        </w:rPr>
        <w:t>Rithwik Ramachandran, PhD, Western University</w:t>
      </w:r>
    </w:p>
    <w:p w14:paraId="19F329E7" w14:textId="30318B40" w:rsidR="00463EDD" w:rsidRPr="00463EDD" w:rsidRDefault="00746DFD">
      <w:pPr>
        <w:rPr>
          <w:rFonts w:eastAsia="Calibri"/>
          <w:sz w:val="21"/>
          <w:szCs w:val="21"/>
        </w:rPr>
      </w:pPr>
      <w:r w:rsidRPr="00463EDD">
        <w:rPr>
          <w:rFonts w:eastAsia="Calibri"/>
          <w:sz w:val="21"/>
          <w:szCs w:val="21"/>
        </w:rPr>
        <w:t>Simon Hirota, PhD, University of Calgary</w:t>
      </w:r>
    </w:p>
    <w:p w14:paraId="5A75AF76" w14:textId="77B7E140" w:rsidR="00E1481B" w:rsidRPr="00463EDD" w:rsidRDefault="00E1481B">
      <w:pPr>
        <w:rPr>
          <w:rFonts w:eastAsia="Calibri"/>
          <w:sz w:val="21"/>
          <w:szCs w:val="21"/>
        </w:rPr>
      </w:pPr>
      <w:r w:rsidRPr="00463EDD">
        <w:rPr>
          <w:rFonts w:eastAsia="Calibri"/>
          <w:sz w:val="21"/>
          <w:szCs w:val="21"/>
        </w:rPr>
        <w:t>Steven Kerfoot, PhD, Western University</w:t>
      </w:r>
      <w:r w:rsidR="00E95BF3" w:rsidRPr="00463EDD">
        <w:rPr>
          <w:rFonts w:eastAsia="Calibri"/>
          <w:sz w:val="21"/>
          <w:szCs w:val="21"/>
        </w:rPr>
        <w:t>.</w:t>
      </w:r>
    </w:p>
    <w:p w14:paraId="3E188A18" w14:textId="77777777" w:rsidR="001745DE" w:rsidRPr="00463EDD" w:rsidRDefault="00746DFD">
      <w:pPr>
        <w:rPr>
          <w:rFonts w:ascii="Calibri" w:eastAsia="Calibri" w:hAnsi="Calibri" w:cs="Calibri"/>
          <w:sz w:val="24"/>
          <w:szCs w:val="24"/>
        </w:rPr>
      </w:pPr>
      <w:r w:rsidRPr="00463EDD">
        <w:rPr>
          <w:rFonts w:ascii="Calibri" w:eastAsia="Calibri" w:hAnsi="Calibri" w:cs="Calibri"/>
          <w:sz w:val="24"/>
          <w:szCs w:val="24"/>
        </w:rPr>
        <w:tab/>
      </w:r>
    </w:p>
    <w:p w14:paraId="4E769202" w14:textId="77777777" w:rsidR="001745DE" w:rsidRDefault="00746DFD">
      <w:r>
        <w:tab/>
      </w:r>
      <w:r>
        <w:tab/>
      </w:r>
      <w:r>
        <w:tab/>
      </w:r>
      <w:r>
        <w:tab/>
      </w:r>
    </w:p>
    <w:p w14:paraId="35CC4805" w14:textId="77777777" w:rsidR="001745DE" w:rsidRDefault="001745DE"/>
    <w:sectPr w:rsidR="001745DE">
      <w:pgSz w:w="12240" w:h="15840"/>
      <w:pgMar w:top="720" w:right="1080" w:bottom="720" w:left="108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olly Witteman" w:date="2017-05-29T23:59:00Z" w:initials="HW">
    <w:p w14:paraId="4A712616" w14:textId="7F273A6E" w:rsidR="00A62A3F" w:rsidRPr="00475714" w:rsidRDefault="00A62A3F" w:rsidP="00A62A3F">
      <w:pPr>
        <w:pStyle w:val="CommentText"/>
        <w:rPr>
          <w:lang w:val="fr-FR"/>
        </w:rPr>
      </w:pPr>
      <w:r>
        <w:rPr>
          <w:rStyle w:val="CommentReference"/>
        </w:rPr>
        <w:annotationRef/>
      </w:r>
      <w:r w:rsidRPr="00475714">
        <w:rPr>
          <w:lang w:val="fr-FR"/>
        </w:rPr>
        <w:t>Exemples :</w:t>
      </w:r>
    </w:p>
    <w:p w14:paraId="71CEF03B" w14:textId="4145EE20" w:rsidR="00A62A3F" w:rsidRPr="00A62A3F" w:rsidRDefault="00A62A3F" w:rsidP="00A62A3F">
      <w:pPr>
        <w:pStyle w:val="CommentText"/>
        <w:rPr>
          <w:lang w:val="en-CA"/>
        </w:rPr>
      </w:pPr>
      <w:r w:rsidRPr="00A62A3F">
        <w:t>Hamilton</w:t>
      </w:r>
      <w:r>
        <w:t xml:space="preserve"> </w:t>
      </w:r>
      <w:r w:rsidRPr="00A62A3F">
        <w:t xml:space="preserve">: </w:t>
      </w:r>
      <w:r w:rsidRPr="00A62A3F">
        <w:rPr>
          <w:lang w:val="en-CA"/>
        </w:rPr>
        <w:t>Duke Electric, Hamilton Hydronics</w:t>
      </w:r>
      <w:r w:rsidRPr="00A62A3F">
        <w:br/>
        <w:t>London</w:t>
      </w:r>
      <w:r>
        <w:t xml:space="preserve"> </w:t>
      </w:r>
      <w:r w:rsidRPr="00A62A3F">
        <w:t>: Trudell, Ceresensa, Neuronitek</w:t>
      </w:r>
    </w:p>
    <w:p w14:paraId="5B576119" w14:textId="7FB22C46" w:rsidR="00A62A3F" w:rsidRDefault="00A62A3F">
      <w:pPr>
        <w:pStyle w:val="CommentText"/>
      </w:pPr>
      <w:r w:rsidRPr="00A62A3F">
        <w:t>Vancouver</w:t>
      </w:r>
      <w:r>
        <w:t xml:space="preserve"> </w:t>
      </w:r>
      <w:r w:rsidRPr="00A62A3F">
        <w:t>: STEMCELL Technologies Inc.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57611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884"/>
    <w:multiLevelType w:val="multilevel"/>
    <w:tmpl w:val="B6C2AE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B5931A7"/>
    <w:multiLevelType w:val="multilevel"/>
    <w:tmpl w:val="0F800C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65CC141E"/>
    <w:multiLevelType w:val="multilevel"/>
    <w:tmpl w:val="D34A60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6F9868E2"/>
    <w:multiLevelType w:val="multilevel"/>
    <w:tmpl w:val="F98C0D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ly Witteman">
    <w15:presenceInfo w15:providerId="None" w15:userId="Holly Witt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DE"/>
    <w:rsid w:val="000049E9"/>
    <w:rsid w:val="0003683E"/>
    <w:rsid w:val="00070C99"/>
    <w:rsid w:val="000B10C7"/>
    <w:rsid w:val="000F251E"/>
    <w:rsid w:val="00123AD4"/>
    <w:rsid w:val="001265F5"/>
    <w:rsid w:val="001323A0"/>
    <w:rsid w:val="00156F9E"/>
    <w:rsid w:val="00160928"/>
    <w:rsid w:val="001745DE"/>
    <w:rsid w:val="001C3F4E"/>
    <w:rsid w:val="001D4B84"/>
    <w:rsid w:val="00303EDB"/>
    <w:rsid w:val="00344CFD"/>
    <w:rsid w:val="003B69BE"/>
    <w:rsid w:val="003E7E94"/>
    <w:rsid w:val="00431531"/>
    <w:rsid w:val="00463EDD"/>
    <w:rsid w:val="00475714"/>
    <w:rsid w:val="004947F9"/>
    <w:rsid w:val="00502F36"/>
    <w:rsid w:val="00530AB8"/>
    <w:rsid w:val="005F4EEA"/>
    <w:rsid w:val="00630381"/>
    <w:rsid w:val="00694D0B"/>
    <w:rsid w:val="006C3DE9"/>
    <w:rsid w:val="006E6ADC"/>
    <w:rsid w:val="006E7C17"/>
    <w:rsid w:val="00727E98"/>
    <w:rsid w:val="00746DFD"/>
    <w:rsid w:val="007744DC"/>
    <w:rsid w:val="007B3969"/>
    <w:rsid w:val="007E3E86"/>
    <w:rsid w:val="008127CD"/>
    <w:rsid w:val="008211F9"/>
    <w:rsid w:val="00822426"/>
    <w:rsid w:val="008425F1"/>
    <w:rsid w:val="008451D3"/>
    <w:rsid w:val="00905CED"/>
    <w:rsid w:val="009108D8"/>
    <w:rsid w:val="00915BCB"/>
    <w:rsid w:val="00981831"/>
    <w:rsid w:val="009A660F"/>
    <w:rsid w:val="009C6D48"/>
    <w:rsid w:val="009E06F7"/>
    <w:rsid w:val="009E68BD"/>
    <w:rsid w:val="00A00A1F"/>
    <w:rsid w:val="00A13D51"/>
    <w:rsid w:val="00A62A3F"/>
    <w:rsid w:val="00A64AC0"/>
    <w:rsid w:val="00A82684"/>
    <w:rsid w:val="00B13B47"/>
    <w:rsid w:val="00B60C67"/>
    <w:rsid w:val="00BA3948"/>
    <w:rsid w:val="00C16B16"/>
    <w:rsid w:val="00C2277D"/>
    <w:rsid w:val="00C31158"/>
    <w:rsid w:val="00CC52E4"/>
    <w:rsid w:val="00D15555"/>
    <w:rsid w:val="00D47A52"/>
    <w:rsid w:val="00D649C5"/>
    <w:rsid w:val="00D74879"/>
    <w:rsid w:val="00E01A53"/>
    <w:rsid w:val="00E1481B"/>
    <w:rsid w:val="00E51C12"/>
    <w:rsid w:val="00E727F9"/>
    <w:rsid w:val="00E86922"/>
    <w:rsid w:val="00E95BF3"/>
    <w:rsid w:val="00EB7C34"/>
    <w:rsid w:val="00F02965"/>
    <w:rsid w:val="00F30640"/>
    <w:rsid w:val="00F43EF2"/>
    <w:rsid w:val="00F95420"/>
    <w:rsid w:val="00FF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BA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6E7C17"/>
    <w:rPr>
      <w:sz w:val="18"/>
      <w:szCs w:val="18"/>
    </w:rPr>
  </w:style>
  <w:style w:type="paragraph" w:styleId="CommentText">
    <w:name w:val="annotation text"/>
    <w:basedOn w:val="Normal"/>
    <w:link w:val="CommentTextChar"/>
    <w:uiPriority w:val="99"/>
    <w:unhideWhenUsed/>
    <w:rsid w:val="006E7C17"/>
    <w:pPr>
      <w:spacing w:line="240" w:lineRule="auto"/>
    </w:pPr>
    <w:rPr>
      <w:sz w:val="24"/>
      <w:szCs w:val="24"/>
    </w:rPr>
  </w:style>
  <w:style w:type="character" w:customStyle="1" w:styleId="CommentTextChar">
    <w:name w:val="Comment Text Char"/>
    <w:basedOn w:val="DefaultParagraphFont"/>
    <w:link w:val="CommentText"/>
    <w:uiPriority w:val="99"/>
    <w:rsid w:val="006E7C17"/>
    <w:rPr>
      <w:sz w:val="24"/>
      <w:szCs w:val="24"/>
    </w:rPr>
  </w:style>
  <w:style w:type="paragraph" w:styleId="CommentSubject">
    <w:name w:val="annotation subject"/>
    <w:basedOn w:val="CommentText"/>
    <w:next w:val="CommentText"/>
    <w:link w:val="CommentSubjectChar"/>
    <w:uiPriority w:val="99"/>
    <w:semiHidden/>
    <w:unhideWhenUsed/>
    <w:rsid w:val="006E7C17"/>
    <w:rPr>
      <w:b/>
      <w:bCs/>
      <w:sz w:val="20"/>
      <w:szCs w:val="20"/>
    </w:rPr>
  </w:style>
  <w:style w:type="character" w:customStyle="1" w:styleId="CommentSubjectChar">
    <w:name w:val="Comment Subject Char"/>
    <w:basedOn w:val="CommentTextChar"/>
    <w:link w:val="CommentSubject"/>
    <w:uiPriority w:val="99"/>
    <w:semiHidden/>
    <w:rsid w:val="006E7C17"/>
    <w:rPr>
      <w:b/>
      <w:bCs/>
      <w:sz w:val="20"/>
      <w:szCs w:val="20"/>
    </w:rPr>
  </w:style>
  <w:style w:type="paragraph" w:styleId="BalloonText">
    <w:name w:val="Balloon Text"/>
    <w:basedOn w:val="Normal"/>
    <w:link w:val="BalloonTextChar"/>
    <w:uiPriority w:val="99"/>
    <w:semiHidden/>
    <w:unhideWhenUsed/>
    <w:rsid w:val="006E7C1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7C17"/>
    <w:rPr>
      <w:rFonts w:ascii="Times New Roman" w:hAnsi="Times New Roman" w:cs="Times New Roman"/>
      <w:sz w:val="18"/>
      <w:szCs w:val="18"/>
    </w:rPr>
  </w:style>
  <w:style w:type="paragraph" w:styleId="ListParagraph">
    <w:name w:val="List Paragraph"/>
    <w:basedOn w:val="Normal"/>
    <w:uiPriority w:val="34"/>
    <w:qFormat/>
    <w:rsid w:val="008451D3"/>
    <w:pPr>
      <w:ind w:left="720"/>
      <w:contextualSpacing/>
    </w:pPr>
  </w:style>
  <w:style w:type="paragraph" w:styleId="Revision">
    <w:name w:val="Revision"/>
    <w:hidden/>
    <w:uiPriority w:val="99"/>
    <w:semiHidden/>
    <w:rsid w:val="00463ED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8657">
      <w:bodyDiv w:val="1"/>
      <w:marLeft w:val="0"/>
      <w:marRight w:val="0"/>
      <w:marTop w:val="0"/>
      <w:marBottom w:val="0"/>
      <w:divBdr>
        <w:top w:val="none" w:sz="0" w:space="0" w:color="auto"/>
        <w:left w:val="none" w:sz="0" w:space="0" w:color="auto"/>
        <w:bottom w:val="none" w:sz="0" w:space="0" w:color="auto"/>
        <w:right w:val="none" w:sz="0" w:space="0" w:color="auto"/>
      </w:divBdr>
    </w:div>
    <w:div w:id="311836297">
      <w:bodyDiv w:val="1"/>
      <w:marLeft w:val="0"/>
      <w:marRight w:val="0"/>
      <w:marTop w:val="0"/>
      <w:marBottom w:val="0"/>
      <w:divBdr>
        <w:top w:val="none" w:sz="0" w:space="0" w:color="auto"/>
        <w:left w:val="none" w:sz="0" w:space="0" w:color="auto"/>
        <w:bottom w:val="none" w:sz="0" w:space="0" w:color="auto"/>
        <w:right w:val="none" w:sz="0" w:space="0" w:color="auto"/>
      </w:divBdr>
    </w:div>
    <w:div w:id="331758494">
      <w:bodyDiv w:val="1"/>
      <w:marLeft w:val="0"/>
      <w:marRight w:val="0"/>
      <w:marTop w:val="0"/>
      <w:marBottom w:val="0"/>
      <w:divBdr>
        <w:top w:val="none" w:sz="0" w:space="0" w:color="auto"/>
        <w:left w:val="none" w:sz="0" w:space="0" w:color="auto"/>
        <w:bottom w:val="none" w:sz="0" w:space="0" w:color="auto"/>
        <w:right w:val="none" w:sz="0" w:space="0" w:color="auto"/>
      </w:divBdr>
    </w:div>
    <w:div w:id="350111844">
      <w:bodyDiv w:val="1"/>
      <w:marLeft w:val="0"/>
      <w:marRight w:val="0"/>
      <w:marTop w:val="0"/>
      <w:marBottom w:val="0"/>
      <w:divBdr>
        <w:top w:val="none" w:sz="0" w:space="0" w:color="auto"/>
        <w:left w:val="none" w:sz="0" w:space="0" w:color="auto"/>
        <w:bottom w:val="none" w:sz="0" w:space="0" w:color="auto"/>
        <w:right w:val="none" w:sz="0" w:space="0" w:color="auto"/>
      </w:divBdr>
      <w:divsChild>
        <w:div w:id="91705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23387">
              <w:marLeft w:val="0"/>
              <w:marRight w:val="0"/>
              <w:marTop w:val="0"/>
              <w:marBottom w:val="0"/>
              <w:divBdr>
                <w:top w:val="none" w:sz="0" w:space="0" w:color="auto"/>
                <w:left w:val="none" w:sz="0" w:space="0" w:color="auto"/>
                <w:bottom w:val="none" w:sz="0" w:space="0" w:color="auto"/>
                <w:right w:val="none" w:sz="0" w:space="0" w:color="auto"/>
              </w:divBdr>
              <w:divsChild>
                <w:div w:id="17871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09983">
      <w:bodyDiv w:val="1"/>
      <w:marLeft w:val="0"/>
      <w:marRight w:val="0"/>
      <w:marTop w:val="0"/>
      <w:marBottom w:val="0"/>
      <w:divBdr>
        <w:top w:val="none" w:sz="0" w:space="0" w:color="auto"/>
        <w:left w:val="none" w:sz="0" w:space="0" w:color="auto"/>
        <w:bottom w:val="none" w:sz="0" w:space="0" w:color="auto"/>
        <w:right w:val="none" w:sz="0" w:space="0" w:color="auto"/>
      </w:divBdr>
    </w:div>
    <w:div w:id="1642611334">
      <w:bodyDiv w:val="1"/>
      <w:marLeft w:val="0"/>
      <w:marRight w:val="0"/>
      <w:marTop w:val="0"/>
      <w:marBottom w:val="0"/>
      <w:divBdr>
        <w:top w:val="none" w:sz="0" w:space="0" w:color="auto"/>
        <w:left w:val="none" w:sz="0" w:space="0" w:color="auto"/>
        <w:bottom w:val="none" w:sz="0" w:space="0" w:color="auto"/>
        <w:right w:val="none" w:sz="0" w:space="0" w:color="auto"/>
      </w:divBdr>
    </w:div>
    <w:div w:id="1822113570">
      <w:bodyDiv w:val="1"/>
      <w:marLeft w:val="0"/>
      <w:marRight w:val="0"/>
      <w:marTop w:val="0"/>
      <w:marBottom w:val="0"/>
      <w:divBdr>
        <w:top w:val="none" w:sz="0" w:space="0" w:color="auto"/>
        <w:left w:val="none" w:sz="0" w:space="0" w:color="auto"/>
        <w:bottom w:val="none" w:sz="0" w:space="0" w:color="auto"/>
        <w:right w:val="none" w:sz="0" w:space="0" w:color="auto"/>
      </w:divBdr>
    </w:div>
    <w:div w:id="192630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review.ca/eic/site/059.nsf/eng/home" TargetMode="External"/><Relationship Id="rId3" Type="http://schemas.openxmlformats.org/officeDocument/2006/relationships/settings" Target="settings.xml"/><Relationship Id="rId7" Type="http://schemas.openxmlformats.org/officeDocument/2006/relationships/hyperlink" Target="https://afmc.ca/pdf/Economic_Impact_Study_Report_FINAL_EN.pdf"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6048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Grosenick</dc:creator>
  <cp:lastModifiedBy>Gina Grosenick</cp:lastModifiedBy>
  <cp:revision>2</cp:revision>
  <dcterms:created xsi:type="dcterms:W3CDTF">2017-07-18T13:25:00Z</dcterms:created>
  <dcterms:modified xsi:type="dcterms:W3CDTF">2017-07-18T13:25:00Z</dcterms:modified>
</cp:coreProperties>
</file>